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826" w:rsidRDefault="007D628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Guidelines for Credible Practice of Modeling and Simulation in Healthcare</w:t>
      </w:r>
    </w:p>
    <w:p w:rsidR="008D4826" w:rsidRDefault="007D6285" w:rsidP="00DA48F2">
      <w:pPr>
        <w:spacing w:before="120" w:after="12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L. Mulugeta</w:t>
      </w:r>
      <w:r w:rsidR="00D8225D">
        <w:rPr>
          <w:rFonts w:ascii="Times New Roman" w:hAnsi="Times New Roman"/>
          <w:sz w:val="20"/>
          <w:szCs w:val="20"/>
        </w:rPr>
        <w:t xml:space="preserve">, A. </w:t>
      </w:r>
      <w:r w:rsidR="001B4104" w:rsidRPr="001B4104">
        <w:rPr>
          <w:rFonts w:ascii="Times New Roman" w:hAnsi="Times New Roman"/>
          <w:sz w:val="20"/>
          <w:szCs w:val="20"/>
        </w:rPr>
        <w:t>Erdemir</w:t>
      </w:r>
      <w:r w:rsidR="001B4104">
        <w:rPr>
          <w:rFonts w:ascii="Times New Roman" w:hAnsi="Times New Roman"/>
          <w:sz w:val="20"/>
          <w:szCs w:val="20"/>
        </w:rPr>
        <w:t xml:space="preserve">, D.M. </w:t>
      </w:r>
      <w:proofErr w:type="spellStart"/>
      <w:r w:rsidR="001B4104" w:rsidRPr="001B4104">
        <w:rPr>
          <w:rFonts w:ascii="Times New Roman" w:hAnsi="Times New Roman"/>
          <w:sz w:val="20"/>
          <w:szCs w:val="20"/>
        </w:rPr>
        <w:t>Eckmann</w:t>
      </w:r>
      <w:proofErr w:type="spellEnd"/>
      <w:r w:rsidR="001B4104">
        <w:rPr>
          <w:rFonts w:ascii="Times New Roman" w:hAnsi="Times New Roman"/>
          <w:sz w:val="20"/>
          <w:szCs w:val="20"/>
        </w:rPr>
        <w:t>, G.</w:t>
      </w:r>
      <w:r w:rsidR="001B4104" w:rsidRPr="001B4104">
        <w:rPr>
          <w:rFonts w:ascii="Times New Roman" w:hAnsi="Times New Roman"/>
          <w:sz w:val="20"/>
          <w:szCs w:val="20"/>
        </w:rPr>
        <w:t>C.Y. Peng</w:t>
      </w:r>
      <w:r w:rsidR="001B4104">
        <w:rPr>
          <w:rFonts w:ascii="Times New Roman" w:hAnsi="Times New Roman"/>
          <w:sz w:val="20"/>
          <w:szCs w:val="20"/>
        </w:rPr>
        <w:t>, R.</w:t>
      </w:r>
      <w:r w:rsidR="001B4104" w:rsidRPr="001B410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1B4104" w:rsidRPr="001B4104">
        <w:rPr>
          <w:rFonts w:ascii="Times New Roman" w:hAnsi="Times New Roman"/>
          <w:sz w:val="20"/>
          <w:szCs w:val="20"/>
        </w:rPr>
        <w:t>Vadigepalli</w:t>
      </w:r>
      <w:proofErr w:type="spellEnd"/>
      <w:r w:rsidR="001B4104">
        <w:rPr>
          <w:rFonts w:ascii="Times New Roman" w:hAnsi="Times New Roman"/>
          <w:sz w:val="20"/>
          <w:szCs w:val="20"/>
        </w:rPr>
        <w:t xml:space="preserve">, G. An, </w:t>
      </w:r>
      <w:r w:rsidR="00340CF3">
        <w:rPr>
          <w:rFonts w:ascii="Times New Roman" w:hAnsi="Times New Roman"/>
          <w:sz w:val="20"/>
          <w:szCs w:val="20"/>
        </w:rPr>
        <w:t xml:space="preserve">C.A. Hunt, </w:t>
      </w:r>
      <w:r w:rsidR="00842987">
        <w:rPr>
          <w:rFonts w:ascii="Times New Roman" w:hAnsi="Times New Roman"/>
          <w:sz w:val="20"/>
          <w:szCs w:val="20"/>
        </w:rPr>
        <w:t xml:space="preserve">M.J. Steele, </w:t>
      </w:r>
      <w:r w:rsidR="00446822">
        <w:rPr>
          <w:rFonts w:ascii="Times New Roman" w:hAnsi="Times New Roman"/>
          <w:sz w:val="20"/>
          <w:szCs w:val="20"/>
        </w:rPr>
        <w:br/>
      </w:r>
      <w:r w:rsidR="00A26554">
        <w:rPr>
          <w:rFonts w:ascii="Times New Roman" w:hAnsi="Times New Roman"/>
          <w:sz w:val="20"/>
          <w:szCs w:val="20"/>
        </w:rPr>
        <w:t xml:space="preserve">W.W. </w:t>
      </w:r>
      <w:r w:rsidR="00A26554" w:rsidRPr="00A26554">
        <w:rPr>
          <w:rFonts w:ascii="Times New Roman" w:hAnsi="Times New Roman"/>
          <w:sz w:val="20"/>
          <w:szCs w:val="20"/>
        </w:rPr>
        <w:t>Lytton</w:t>
      </w:r>
      <w:r w:rsidR="00A26554">
        <w:rPr>
          <w:rFonts w:ascii="Times New Roman" w:hAnsi="Times New Roman"/>
          <w:sz w:val="20"/>
          <w:szCs w:val="20"/>
        </w:rPr>
        <w:t xml:space="preserve">, </w:t>
      </w:r>
      <w:r w:rsidR="00842987">
        <w:rPr>
          <w:rFonts w:ascii="Times New Roman" w:hAnsi="Times New Roman"/>
          <w:sz w:val="20"/>
          <w:szCs w:val="20"/>
        </w:rPr>
        <w:t>T.M. Morrison, J.G. Myers,</w:t>
      </w:r>
      <w:r w:rsidR="00077882">
        <w:rPr>
          <w:rFonts w:ascii="Times New Roman" w:hAnsi="Times New Roman"/>
          <w:sz w:val="20"/>
          <w:szCs w:val="20"/>
        </w:rPr>
        <w:t xml:space="preserve"> G.N. </w:t>
      </w:r>
      <w:proofErr w:type="spellStart"/>
      <w:r w:rsidR="00077882" w:rsidRPr="00077882">
        <w:rPr>
          <w:rFonts w:ascii="Times New Roman" w:hAnsi="Times New Roman"/>
          <w:sz w:val="20"/>
          <w:szCs w:val="20"/>
        </w:rPr>
        <w:t>Pradhan</w:t>
      </w:r>
      <w:proofErr w:type="spellEnd"/>
      <w:r w:rsidR="00077882">
        <w:rPr>
          <w:rFonts w:ascii="Times New Roman" w:hAnsi="Times New Roman"/>
          <w:sz w:val="20"/>
          <w:szCs w:val="20"/>
        </w:rPr>
        <w:t xml:space="preserve">, D.R. </w:t>
      </w:r>
      <w:proofErr w:type="spellStart"/>
      <w:r w:rsidR="00077882" w:rsidRPr="00077882">
        <w:rPr>
          <w:rFonts w:ascii="Times New Roman" w:hAnsi="Times New Roman"/>
          <w:sz w:val="20"/>
          <w:szCs w:val="20"/>
        </w:rPr>
        <w:t>Lochner</w:t>
      </w:r>
      <w:proofErr w:type="spellEnd"/>
      <w:r w:rsidR="00446822">
        <w:rPr>
          <w:rFonts w:ascii="Times New Roman" w:hAnsi="Times New Roman"/>
          <w:sz w:val="20"/>
          <w:szCs w:val="20"/>
        </w:rPr>
        <w:t>, M.E. Walton, M. Horner, and J.P. Ku</w:t>
      </w:r>
    </w:p>
    <w:p w:rsidR="008D4826" w:rsidRDefault="007D6285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All listed authors are members of </w:t>
      </w:r>
      <w:hyperlink r:id="rId10">
        <w:r>
          <w:rPr>
            <w:rStyle w:val="InternetLink"/>
            <w:rFonts w:ascii="Times New Roman" w:hAnsi="Times New Roman"/>
            <w:i/>
            <w:sz w:val="20"/>
            <w:szCs w:val="20"/>
          </w:rPr>
          <w:t>the Committee on Credible Practice of Modeling &amp; Simulation in Healthcare</w:t>
        </w:r>
      </w:hyperlink>
      <w:r>
        <w:rPr>
          <w:rFonts w:ascii="Times New Roman" w:hAnsi="Times New Roman"/>
          <w:i/>
          <w:sz w:val="20"/>
          <w:szCs w:val="20"/>
        </w:rPr>
        <w:t xml:space="preserve"> </w:t>
      </w:r>
    </w:p>
    <w:p w:rsidR="008D4826" w:rsidRPr="00446822" w:rsidRDefault="008D4826">
      <w:pPr>
        <w:pStyle w:val="NoSpacing"/>
        <w:jc w:val="center"/>
        <w:rPr>
          <w:rFonts w:ascii="Times New Roman" w:hAnsi="Times New Roman"/>
          <w:sz w:val="18"/>
          <w:szCs w:val="20"/>
        </w:rPr>
      </w:pPr>
    </w:p>
    <w:p w:rsidR="008D4826" w:rsidRDefault="007D628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The role of </w:t>
      </w:r>
      <w:r>
        <w:rPr>
          <w:rFonts w:ascii="Times New Roman" w:hAnsi="Times New Roman"/>
          <w:sz w:val="20"/>
          <w:szCs w:val="20"/>
        </w:rPr>
        <w:t xml:space="preserve">computational modeling and simulation (M&amp;S) in healthcare research and practice continues to </w:t>
      </w:r>
      <w:r w:rsidR="00340CF3">
        <w:rPr>
          <w:rFonts w:ascii="Times New Roman" w:hAnsi="Times New Roman"/>
          <w:sz w:val="20"/>
          <w:szCs w:val="20"/>
        </w:rPr>
        <w:t>expand</w:t>
      </w:r>
      <w:r>
        <w:rPr>
          <w:rFonts w:ascii="Times New Roman" w:hAnsi="Times New Roman"/>
          <w:sz w:val="20"/>
          <w:szCs w:val="20"/>
        </w:rPr>
        <w:t xml:space="preserve"> [1-2]. However, the </w:t>
      </w:r>
      <w:r w:rsidR="00DA48F2">
        <w:rPr>
          <w:rFonts w:ascii="Times New Roman" w:hAnsi="Times New Roman"/>
          <w:sz w:val="20"/>
          <w:szCs w:val="20"/>
        </w:rPr>
        <w:t>full potential</w:t>
      </w:r>
      <w:r>
        <w:rPr>
          <w:rFonts w:ascii="Times New Roman" w:hAnsi="Times New Roman"/>
          <w:sz w:val="20"/>
          <w:szCs w:val="20"/>
        </w:rPr>
        <w:t xml:space="preserve"> of M&amp;S for</w:t>
      </w:r>
      <w:r w:rsidR="00340CF3">
        <w:rPr>
          <w:rFonts w:ascii="Times New Roman" w:hAnsi="Times New Roman"/>
          <w:sz w:val="20"/>
          <w:szCs w:val="20"/>
        </w:rPr>
        <w:t xml:space="preserve"> facilitating</w:t>
      </w:r>
      <w:r>
        <w:rPr>
          <w:rFonts w:ascii="Times New Roman" w:hAnsi="Times New Roman"/>
          <w:sz w:val="20"/>
          <w:szCs w:val="20"/>
        </w:rPr>
        <w:t xml:space="preserve"> scientific discovery and clinical care </w:t>
      </w:r>
      <w:r w:rsidR="00DA48F2">
        <w:rPr>
          <w:rFonts w:ascii="Times New Roman" w:hAnsi="Times New Roman"/>
          <w:sz w:val="20"/>
          <w:szCs w:val="20"/>
        </w:rPr>
        <w:t>can</w:t>
      </w:r>
      <w:r w:rsidR="0084298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only </w:t>
      </w:r>
      <w:r w:rsidR="00DA48F2">
        <w:rPr>
          <w:rFonts w:ascii="Times New Roman" w:hAnsi="Times New Roman"/>
          <w:sz w:val="20"/>
          <w:szCs w:val="20"/>
        </w:rPr>
        <w:t xml:space="preserve">be </w:t>
      </w:r>
      <w:r>
        <w:rPr>
          <w:rFonts w:ascii="Times New Roman" w:hAnsi="Times New Roman"/>
          <w:sz w:val="20"/>
          <w:szCs w:val="20"/>
        </w:rPr>
        <w:t xml:space="preserve">realized when </w:t>
      </w:r>
      <w:r w:rsidR="00340CF3">
        <w:rPr>
          <w:rFonts w:ascii="Times New Roman" w:hAnsi="Times New Roman"/>
          <w:sz w:val="20"/>
          <w:szCs w:val="20"/>
        </w:rPr>
        <w:t>M&amp;S</w:t>
      </w:r>
      <w:r>
        <w:rPr>
          <w:rFonts w:ascii="Times New Roman" w:hAnsi="Times New Roman"/>
          <w:sz w:val="20"/>
          <w:szCs w:val="20"/>
        </w:rPr>
        <w:t xml:space="preserve"> workflows</w:t>
      </w:r>
      <w:r w:rsidR="00842987">
        <w:rPr>
          <w:rFonts w:ascii="Times New Roman" w:hAnsi="Times New Roman"/>
          <w:sz w:val="20"/>
          <w:szCs w:val="20"/>
        </w:rPr>
        <w:t xml:space="preserve"> and </w:t>
      </w:r>
      <w:r w:rsidR="00DA48F2">
        <w:rPr>
          <w:rFonts w:ascii="Times New Roman" w:hAnsi="Times New Roman"/>
          <w:sz w:val="20"/>
          <w:szCs w:val="20"/>
        </w:rPr>
        <w:t>end-</w:t>
      </w:r>
      <w:r w:rsidR="00842987">
        <w:rPr>
          <w:rFonts w:ascii="Times New Roman" w:hAnsi="Times New Roman"/>
          <w:sz w:val="20"/>
          <w:szCs w:val="20"/>
        </w:rPr>
        <w:t>products</w:t>
      </w:r>
      <w:r>
        <w:rPr>
          <w:rFonts w:ascii="Times New Roman" w:hAnsi="Times New Roman"/>
          <w:sz w:val="20"/>
          <w:szCs w:val="20"/>
        </w:rPr>
        <w:t xml:space="preserve"> are credible. Nevertheless, there is</w:t>
      </w:r>
      <w:r w:rsidR="00842987">
        <w:rPr>
          <w:rFonts w:ascii="Times New Roman" w:hAnsi="Times New Roman"/>
          <w:sz w:val="20"/>
          <w:szCs w:val="20"/>
        </w:rPr>
        <w:t xml:space="preserve"> a</w:t>
      </w:r>
      <w:r>
        <w:rPr>
          <w:rFonts w:ascii="Times New Roman" w:hAnsi="Times New Roman"/>
          <w:sz w:val="20"/>
          <w:szCs w:val="20"/>
        </w:rPr>
        <w:t xml:space="preserve"> lack of broadly accepted standards and guidelines to </w:t>
      </w:r>
      <w:r w:rsidR="00340CF3">
        <w:rPr>
          <w:rFonts w:ascii="Times New Roman" w:hAnsi="Times New Roman"/>
          <w:sz w:val="20"/>
          <w:szCs w:val="20"/>
        </w:rPr>
        <w:t>promote</w:t>
      </w:r>
      <w:r>
        <w:rPr>
          <w:rFonts w:ascii="Times New Roman" w:hAnsi="Times New Roman"/>
          <w:sz w:val="20"/>
          <w:szCs w:val="20"/>
        </w:rPr>
        <w:t xml:space="preserve"> </w:t>
      </w:r>
      <w:r w:rsidR="00340CF3">
        <w:rPr>
          <w:rFonts w:ascii="Times New Roman" w:hAnsi="Times New Roman"/>
          <w:sz w:val="20"/>
          <w:szCs w:val="20"/>
        </w:rPr>
        <w:t xml:space="preserve">credible practice </w:t>
      </w:r>
      <w:r>
        <w:rPr>
          <w:rFonts w:ascii="Times New Roman" w:hAnsi="Times New Roman"/>
          <w:sz w:val="20"/>
          <w:szCs w:val="20"/>
        </w:rPr>
        <w:t>of M&amp;S among academia, industry, clinics and regulatory bodies [3-5]. To he</w:t>
      </w:r>
      <w:r w:rsidR="00DA48F2">
        <w:rPr>
          <w:rFonts w:ascii="Times New Roman" w:hAnsi="Times New Roman"/>
          <w:sz w:val="20"/>
          <w:szCs w:val="20"/>
        </w:rPr>
        <w:t xml:space="preserve">lp fill this critical gap, the </w:t>
      </w:r>
      <w:r>
        <w:rPr>
          <w:rFonts w:ascii="Times New Roman" w:hAnsi="Times New Roman"/>
          <w:sz w:val="20"/>
          <w:szCs w:val="20"/>
        </w:rPr>
        <w:t xml:space="preserve">Committee on Credible Practice of Modeling &amp; Simulation in Healthcare (the Committee) was established under the Interagency Modeling and Analysis Group (IMAG) and the </w:t>
      </w:r>
      <w:proofErr w:type="spellStart"/>
      <w:r>
        <w:rPr>
          <w:rFonts w:ascii="Times New Roman" w:hAnsi="Times New Roman"/>
          <w:sz w:val="20"/>
          <w:szCs w:val="20"/>
        </w:rPr>
        <w:t>Multiscale</w:t>
      </w:r>
      <w:proofErr w:type="spellEnd"/>
      <w:r>
        <w:rPr>
          <w:rFonts w:ascii="Times New Roman" w:hAnsi="Times New Roman"/>
          <w:sz w:val="20"/>
          <w:szCs w:val="20"/>
        </w:rPr>
        <w:t xml:space="preserve"> Modeling (MSM) Consortium [6]. Specifically, the Committee is charged with (1) developing and adapting guidelines and procedures for credible practice of M&amp;S in healthcare, (2) cultivating consistent terminology, (3) demonstrating workflows for credible practice, and (4) </w:t>
      </w:r>
      <w:r w:rsidR="00842987">
        <w:rPr>
          <w:rFonts w:ascii="Times New Roman" w:hAnsi="Times New Roman"/>
          <w:sz w:val="20"/>
          <w:szCs w:val="20"/>
        </w:rPr>
        <w:t>promoting</w:t>
      </w:r>
      <w:r>
        <w:rPr>
          <w:rFonts w:ascii="Times New Roman" w:hAnsi="Times New Roman"/>
          <w:sz w:val="20"/>
          <w:szCs w:val="20"/>
        </w:rPr>
        <w:t xml:space="preserve"> credible practice. This informational poster </w:t>
      </w:r>
      <w:r w:rsidR="00340CF3">
        <w:rPr>
          <w:rFonts w:ascii="Times New Roman" w:hAnsi="Times New Roman"/>
          <w:sz w:val="20"/>
          <w:szCs w:val="20"/>
        </w:rPr>
        <w:t>focus</w:t>
      </w:r>
      <w:r w:rsidR="00842987">
        <w:rPr>
          <w:rFonts w:ascii="Times New Roman" w:hAnsi="Times New Roman"/>
          <w:sz w:val="20"/>
          <w:szCs w:val="20"/>
        </w:rPr>
        <w:t>es</w:t>
      </w:r>
      <w:r w:rsidR="00340CF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primarily on the Committee’s work to develop and ad</w:t>
      </w:r>
      <w:r w:rsidR="00340CF3"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 xml:space="preserve">pt </w:t>
      </w:r>
      <w:r>
        <w:rPr>
          <w:rFonts w:ascii="Times New Roman" w:hAnsi="Times New Roman"/>
          <w:i/>
          <w:sz w:val="20"/>
          <w:szCs w:val="20"/>
        </w:rPr>
        <w:t xml:space="preserve">Guidelines for Credible Practice of Modeling and Simulation in Healthcare, </w:t>
      </w:r>
      <w:r>
        <w:rPr>
          <w:rFonts w:ascii="Times New Roman" w:hAnsi="Times New Roman"/>
          <w:sz w:val="20"/>
          <w:szCs w:val="20"/>
        </w:rPr>
        <w:t xml:space="preserve">accompanied </w:t>
      </w:r>
      <w:r w:rsidR="00F21952">
        <w:rPr>
          <w:rFonts w:ascii="Times New Roman" w:hAnsi="Times New Roman"/>
          <w:sz w:val="20"/>
          <w:szCs w:val="20"/>
        </w:rPr>
        <w:t xml:space="preserve">by </w:t>
      </w:r>
      <w:r>
        <w:rPr>
          <w:rFonts w:ascii="Times New Roman" w:hAnsi="Times New Roman"/>
          <w:sz w:val="20"/>
          <w:szCs w:val="20"/>
        </w:rPr>
        <w:t xml:space="preserve">practical pointers for the MSM research community on implementing this guidance to establish M&amp;S credibility. </w:t>
      </w:r>
    </w:p>
    <w:p w:rsidR="00820981" w:rsidRDefault="0082098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tblpXSpec="right" w:tblpY="1"/>
        <w:tblOverlap w:val="never"/>
        <w:tblW w:w="0" w:type="auto"/>
        <w:jc w:val="right"/>
        <w:tblBorders>
          <w:top w:val="single" w:sz="4" w:space="0" w:color="00000A"/>
          <w:left w:val="single" w:sz="4" w:space="0" w:color="00000A"/>
          <w:bottom w:val="single" w:sz="4" w:space="0" w:color="00000A"/>
          <w:right w:val="nil"/>
          <w:insideH w:val="single" w:sz="4" w:space="0" w:color="00000A"/>
          <w:insideV w:val="nil"/>
        </w:tblBorders>
        <w:tblCellMar>
          <w:left w:w="62" w:type="dxa"/>
          <w:right w:w="0" w:type="dxa"/>
        </w:tblCellMar>
        <w:tblLook w:val="04A0"/>
      </w:tblPr>
      <w:tblGrid>
        <w:gridCol w:w="590"/>
        <w:gridCol w:w="1779"/>
        <w:gridCol w:w="664"/>
        <w:gridCol w:w="2249"/>
      </w:tblGrid>
      <w:tr w:rsidR="00820981" w:rsidTr="00820981">
        <w:trPr>
          <w:trHeight w:val="21"/>
          <w:jc w:val="right"/>
        </w:trPr>
        <w:tc>
          <w:tcPr>
            <w:tcW w:w="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C2D69B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Rule 1</w:t>
            </w:r>
          </w:p>
        </w:tc>
        <w:tc>
          <w:tcPr>
            <w:tcW w:w="177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C2D69B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Define context clearly</w:t>
            </w:r>
          </w:p>
        </w:tc>
        <w:tc>
          <w:tcPr>
            <w:tcW w:w="6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Rule 6</w:t>
            </w:r>
          </w:p>
        </w:tc>
        <w:tc>
          <w:tcPr>
            <w:tcW w:w="224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Document adequately</w:t>
            </w:r>
          </w:p>
        </w:tc>
      </w:tr>
      <w:tr w:rsidR="00820981" w:rsidTr="00820981">
        <w:trPr>
          <w:trHeight w:val="21"/>
          <w:jc w:val="right"/>
        </w:trPr>
        <w:tc>
          <w:tcPr>
            <w:tcW w:w="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C2D69B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 xml:space="preserve">Rule 2 </w:t>
            </w:r>
          </w:p>
        </w:tc>
        <w:tc>
          <w:tcPr>
            <w:tcW w:w="177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C2D69B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Use appropriate data</w:t>
            </w:r>
          </w:p>
        </w:tc>
        <w:tc>
          <w:tcPr>
            <w:tcW w:w="6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 xml:space="preserve">Rule 7 </w:t>
            </w:r>
          </w:p>
        </w:tc>
        <w:tc>
          <w:tcPr>
            <w:tcW w:w="224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Disseminate broadly</w:t>
            </w:r>
          </w:p>
        </w:tc>
      </w:tr>
      <w:tr w:rsidR="00820981" w:rsidTr="00820981">
        <w:trPr>
          <w:trHeight w:val="21"/>
          <w:jc w:val="right"/>
        </w:trPr>
        <w:tc>
          <w:tcPr>
            <w:tcW w:w="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C2D69B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Rule 3</w:t>
            </w:r>
          </w:p>
        </w:tc>
        <w:tc>
          <w:tcPr>
            <w:tcW w:w="177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C2D69B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Evaluate within context</w:t>
            </w:r>
          </w:p>
        </w:tc>
        <w:tc>
          <w:tcPr>
            <w:tcW w:w="6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Rule 8</w:t>
            </w:r>
          </w:p>
        </w:tc>
        <w:tc>
          <w:tcPr>
            <w:tcW w:w="224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Get independent reviews</w:t>
            </w:r>
          </w:p>
        </w:tc>
      </w:tr>
      <w:tr w:rsidR="00820981" w:rsidTr="00820981">
        <w:trPr>
          <w:trHeight w:val="21"/>
          <w:jc w:val="right"/>
        </w:trPr>
        <w:tc>
          <w:tcPr>
            <w:tcW w:w="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C2D69B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Rule 4</w:t>
            </w:r>
          </w:p>
        </w:tc>
        <w:tc>
          <w:tcPr>
            <w:tcW w:w="177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C2D69B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List limitations explicitly</w:t>
            </w:r>
          </w:p>
        </w:tc>
        <w:tc>
          <w:tcPr>
            <w:tcW w:w="6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Rule 9</w:t>
            </w:r>
          </w:p>
        </w:tc>
        <w:tc>
          <w:tcPr>
            <w:tcW w:w="224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Test competing implementations</w:t>
            </w:r>
          </w:p>
        </w:tc>
      </w:tr>
      <w:tr w:rsidR="00820981" w:rsidTr="00820981">
        <w:trPr>
          <w:trHeight w:val="123"/>
          <w:jc w:val="right"/>
        </w:trPr>
        <w:tc>
          <w:tcPr>
            <w:tcW w:w="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Rule 5</w:t>
            </w:r>
          </w:p>
        </w:tc>
        <w:tc>
          <w:tcPr>
            <w:tcW w:w="177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Use version control</w:t>
            </w:r>
          </w:p>
        </w:tc>
        <w:tc>
          <w:tcPr>
            <w:tcW w:w="6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62" w:type="dxa"/>
            </w:tcMar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Rule 10</w:t>
            </w:r>
          </w:p>
        </w:tc>
        <w:tc>
          <w:tcPr>
            <w:tcW w:w="224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820981" w:rsidRDefault="00820981" w:rsidP="00820981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6"/>
                <w:szCs w:val="16"/>
              </w:rPr>
              <w:t>Conform to standards</w:t>
            </w:r>
          </w:p>
        </w:tc>
      </w:tr>
      <w:tr w:rsidR="00820981" w:rsidTr="00820981">
        <w:trPr>
          <w:trHeight w:val="123"/>
          <w:jc w:val="right"/>
        </w:trPr>
        <w:tc>
          <w:tcPr>
            <w:tcW w:w="5282" w:type="dxa"/>
            <w:gridSpan w:val="4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FFFFFF"/>
            <w:tcMar>
              <w:left w:w="72" w:type="dxa"/>
            </w:tcMar>
          </w:tcPr>
          <w:p w:rsidR="00820981" w:rsidRDefault="00820981" w:rsidP="00820981">
            <w:pPr>
              <w:pStyle w:val="NoSpacing"/>
              <w:jc w:val="both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sz w:val="18"/>
              </w:rPr>
              <w:t>Table 1: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20"/>
              </w:rPr>
              <w:t>The Committee’s “Ten Simple Rules of Credible Practice of M&amp;S in Healthcare” [7-9].</w:t>
            </w:r>
          </w:p>
        </w:tc>
      </w:tr>
    </w:tbl>
    <w:p w:rsidR="008D4826" w:rsidRDefault="007D6285">
      <w:pPr>
        <w:pStyle w:val="NoSpacing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Since its </w:t>
      </w:r>
      <w:r w:rsidR="003A26C1" w:rsidRPr="003A26C1">
        <w:rPr>
          <w:rFonts w:ascii="Times New Roman" w:hAnsi="Times New Roman"/>
          <w:sz w:val="20"/>
          <w:szCs w:val="20"/>
        </w:rPr>
        <w:t>establishment</w:t>
      </w:r>
      <w:r>
        <w:rPr>
          <w:rFonts w:ascii="Times New Roman" w:hAnsi="Times New Roman"/>
          <w:sz w:val="20"/>
          <w:szCs w:val="20"/>
        </w:rPr>
        <w:t xml:space="preserve"> in 2013, the Committee </w:t>
      </w:r>
      <w:r w:rsidR="00A24434">
        <w:rPr>
          <w:rFonts w:ascii="Times New Roman" w:hAnsi="Times New Roman"/>
          <w:sz w:val="20"/>
          <w:szCs w:val="20"/>
        </w:rPr>
        <w:t xml:space="preserve">has </w:t>
      </w:r>
      <w:r w:rsidR="00820981">
        <w:rPr>
          <w:rFonts w:ascii="Times New Roman" w:hAnsi="Times New Roman"/>
          <w:sz w:val="20"/>
          <w:szCs w:val="20"/>
        </w:rPr>
        <w:t>drafted</w:t>
      </w:r>
      <w:r w:rsidR="00340CF3">
        <w:rPr>
          <w:rFonts w:ascii="Times New Roman" w:hAnsi="Times New Roman"/>
          <w:sz w:val="20"/>
          <w:szCs w:val="20"/>
        </w:rPr>
        <w:t xml:space="preserve"> </w:t>
      </w:r>
      <w:r w:rsidR="003A26C1">
        <w:rPr>
          <w:rFonts w:ascii="Times New Roman" w:hAnsi="Times New Roman"/>
          <w:sz w:val="20"/>
          <w:szCs w:val="20"/>
        </w:rPr>
        <w:t xml:space="preserve">its </w:t>
      </w:r>
      <w:r>
        <w:rPr>
          <w:rFonts w:ascii="Times New Roman" w:hAnsi="Times New Roman"/>
          <w:sz w:val="20"/>
          <w:szCs w:val="20"/>
        </w:rPr>
        <w:t>perspective</w:t>
      </w:r>
      <w:r w:rsidR="00B833B1">
        <w:rPr>
          <w:rFonts w:ascii="Times New Roman" w:hAnsi="Times New Roman"/>
          <w:sz w:val="20"/>
          <w:szCs w:val="20"/>
        </w:rPr>
        <w:t>s</w:t>
      </w:r>
      <w:r w:rsidR="003A26C1">
        <w:rPr>
          <w:rFonts w:ascii="Times New Roman" w:hAnsi="Times New Roman"/>
          <w:sz w:val="20"/>
          <w:szCs w:val="20"/>
        </w:rPr>
        <w:t xml:space="preserve"> </w:t>
      </w:r>
      <w:r w:rsidR="00B833B1">
        <w:rPr>
          <w:rFonts w:ascii="Times New Roman" w:hAnsi="Times New Roman"/>
          <w:sz w:val="20"/>
          <w:szCs w:val="20"/>
        </w:rPr>
        <w:t>regarding the essential elements of</w:t>
      </w:r>
      <w:r w:rsidR="00820981">
        <w:rPr>
          <w:rFonts w:ascii="Times New Roman" w:hAnsi="Times New Roman"/>
          <w:sz w:val="20"/>
          <w:szCs w:val="20"/>
        </w:rPr>
        <w:t xml:space="preserve"> credible practice</w:t>
      </w:r>
      <w:r w:rsidR="00B833B1">
        <w:rPr>
          <w:rFonts w:ascii="Times New Roman" w:hAnsi="Times New Roman"/>
          <w:sz w:val="20"/>
          <w:szCs w:val="20"/>
        </w:rPr>
        <w:t xml:space="preserve"> of M&amp;S in healthcare</w:t>
      </w:r>
      <w:r w:rsidR="00820981">
        <w:rPr>
          <w:rFonts w:ascii="Times New Roman" w:hAnsi="Times New Roman"/>
          <w:sz w:val="20"/>
          <w:szCs w:val="20"/>
        </w:rPr>
        <w:t>; formally known as</w:t>
      </w:r>
      <w:r w:rsidR="00F21952">
        <w:rPr>
          <w:rFonts w:ascii="Times New Roman" w:hAnsi="Times New Roman"/>
          <w:sz w:val="20"/>
          <w:szCs w:val="20"/>
        </w:rPr>
        <w:t xml:space="preserve"> “</w:t>
      </w:r>
      <w:r w:rsidR="00820981">
        <w:rPr>
          <w:rFonts w:ascii="Times New Roman" w:hAnsi="Times New Roman"/>
          <w:sz w:val="20"/>
          <w:szCs w:val="20"/>
        </w:rPr>
        <w:t xml:space="preserve">The </w:t>
      </w:r>
      <w:r>
        <w:rPr>
          <w:rFonts w:ascii="Times New Roman" w:hAnsi="Times New Roman"/>
          <w:sz w:val="20"/>
          <w:szCs w:val="20"/>
        </w:rPr>
        <w:t>Ten Simple Rules of Credible Practice of M&amp;S in Healthcare</w:t>
      </w:r>
      <w:r w:rsidR="00F21952"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/>
          <w:sz w:val="20"/>
          <w:szCs w:val="20"/>
        </w:rPr>
        <w:t xml:space="preserve"> (Table 1) [7]. </w:t>
      </w:r>
      <w:r w:rsidR="00F21952">
        <w:rPr>
          <w:rFonts w:ascii="Times New Roman" w:hAnsi="Times New Roman"/>
          <w:sz w:val="20"/>
          <w:szCs w:val="20"/>
        </w:rPr>
        <w:t xml:space="preserve"> </w:t>
      </w:r>
      <w:r w:rsidR="00334E93">
        <w:rPr>
          <w:rFonts w:ascii="Times New Roman" w:hAnsi="Times New Roman"/>
          <w:sz w:val="20"/>
          <w:szCs w:val="20"/>
        </w:rPr>
        <w:t>After reaching a consensus within the Committee, we</w:t>
      </w:r>
      <w:r>
        <w:rPr>
          <w:rFonts w:ascii="Times New Roman" w:hAnsi="Times New Roman"/>
          <w:sz w:val="20"/>
          <w:szCs w:val="20"/>
        </w:rPr>
        <w:t xml:space="preserve"> surveyed the broader research community to ensure our approach for establishing </w:t>
      </w:r>
      <w:r>
        <w:rPr>
          <w:rFonts w:ascii="Times New Roman" w:hAnsi="Times New Roman"/>
          <w:i/>
          <w:sz w:val="20"/>
          <w:szCs w:val="20"/>
        </w:rPr>
        <w:t>Guidelines for Credible Practice of Modeling and Simulation in Healthcare</w:t>
      </w:r>
      <w:r>
        <w:rPr>
          <w:rFonts w:ascii="Times New Roman" w:hAnsi="Times New Roman"/>
          <w:sz w:val="20"/>
          <w:szCs w:val="20"/>
        </w:rPr>
        <w:t xml:space="preserve"> took into account a balanced representation of the interests and perspectives of global stakeholders in </w:t>
      </w:r>
      <w:r w:rsidR="00B572B5" w:rsidRPr="00B572B5">
        <w:rPr>
          <w:rFonts w:ascii="Times New Roman" w:hAnsi="Times New Roman"/>
          <w:sz w:val="20"/>
          <w:szCs w:val="20"/>
        </w:rPr>
        <w:t>healthcare M&amp;S</w:t>
      </w:r>
      <w:r>
        <w:rPr>
          <w:rFonts w:ascii="Times New Roman" w:hAnsi="Times New Roman"/>
          <w:sz w:val="20"/>
          <w:szCs w:val="20"/>
        </w:rPr>
        <w:t xml:space="preserve">. Although preliminary results suggest noticeable differences between the perspectives of the Committee and </w:t>
      </w:r>
      <w:r w:rsidR="00F21952">
        <w:rPr>
          <w:rFonts w:ascii="Times New Roman" w:hAnsi="Times New Roman"/>
          <w:sz w:val="20"/>
          <w:szCs w:val="20"/>
        </w:rPr>
        <w:t xml:space="preserve">the </w:t>
      </w:r>
      <w:r>
        <w:rPr>
          <w:rFonts w:ascii="Times New Roman" w:hAnsi="Times New Roman"/>
          <w:sz w:val="20"/>
          <w:szCs w:val="20"/>
        </w:rPr>
        <w:t xml:space="preserve">global research community, both groups agree that </w:t>
      </w:r>
      <w:r w:rsidR="00F21952">
        <w:rPr>
          <w:rFonts w:ascii="Times New Roman" w:hAnsi="Times New Roman"/>
          <w:sz w:val="20"/>
          <w:szCs w:val="20"/>
        </w:rPr>
        <w:t xml:space="preserve">the </w:t>
      </w:r>
      <w:r>
        <w:rPr>
          <w:rFonts w:ascii="Times New Roman" w:hAnsi="Times New Roman"/>
          <w:sz w:val="20"/>
          <w:szCs w:val="20"/>
        </w:rPr>
        <w:t xml:space="preserve">four rules </w:t>
      </w:r>
      <w:r w:rsidR="00F21952">
        <w:rPr>
          <w:rFonts w:ascii="Times New Roman" w:hAnsi="Times New Roman"/>
          <w:sz w:val="20"/>
          <w:szCs w:val="20"/>
        </w:rPr>
        <w:t xml:space="preserve">highlighted </w:t>
      </w:r>
      <w:r>
        <w:rPr>
          <w:rFonts w:ascii="Times New Roman" w:hAnsi="Times New Roman"/>
          <w:sz w:val="20"/>
          <w:szCs w:val="20"/>
        </w:rPr>
        <w:t xml:space="preserve">in Table 1 are necessary for credible practice of M&amp;S in healthcare [8-9]. </w:t>
      </w:r>
      <w:r w:rsidR="00AF513B">
        <w:rPr>
          <w:rFonts w:ascii="Times New Roman" w:hAnsi="Times New Roman"/>
          <w:sz w:val="20"/>
          <w:szCs w:val="20"/>
        </w:rPr>
        <w:t>Finally</w:t>
      </w:r>
      <w:r>
        <w:rPr>
          <w:rFonts w:ascii="Times New Roman" w:hAnsi="Times New Roman"/>
          <w:sz w:val="20"/>
          <w:szCs w:val="20"/>
        </w:rPr>
        <w:t xml:space="preserve">, the Committee’s work has had an early impact in the field by informing </w:t>
      </w:r>
      <w:r w:rsidR="00F21952">
        <w:rPr>
          <w:rFonts w:ascii="Times New Roman" w:hAnsi="Times New Roman"/>
          <w:sz w:val="20"/>
          <w:szCs w:val="20"/>
        </w:rPr>
        <w:t xml:space="preserve">the </w:t>
      </w:r>
      <w:r>
        <w:rPr>
          <w:rFonts w:ascii="Times New Roman" w:hAnsi="Times New Roman"/>
          <w:sz w:val="20"/>
          <w:szCs w:val="20"/>
        </w:rPr>
        <w:t xml:space="preserve">IMAG U01 funding program [10]. </w:t>
      </w:r>
      <w:r w:rsidR="00334E93">
        <w:rPr>
          <w:rFonts w:ascii="Times New Roman" w:hAnsi="Times New Roman"/>
          <w:sz w:val="20"/>
          <w:szCs w:val="20"/>
        </w:rPr>
        <w:t>Looking to the future</w:t>
      </w:r>
      <w:r w:rsidR="009D0956">
        <w:rPr>
          <w:rFonts w:ascii="Times New Roman" w:hAnsi="Times New Roman"/>
          <w:sz w:val="20"/>
          <w:szCs w:val="20"/>
        </w:rPr>
        <w:t>, i</w:t>
      </w:r>
      <w:r w:rsidR="00340CF3">
        <w:rPr>
          <w:rFonts w:ascii="Times New Roman" w:hAnsi="Times New Roman"/>
          <w:sz w:val="20"/>
          <w:szCs w:val="20"/>
        </w:rPr>
        <w:t>t is likely that</w:t>
      </w:r>
      <w:r w:rsidR="001B4104" w:rsidRPr="001B4104">
        <w:rPr>
          <w:rFonts w:ascii="Times New Roman" w:hAnsi="Times New Roman"/>
          <w:sz w:val="20"/>
          <w:szCs w:val="20"/>
        </w:rPr>
        <w:t xml:space="preserve"> guidance provided by the Committee will evolve with the further penetration of </w:t>
      </w:r>
      <w:r w:rsidR="00077882">
        <w:rPr>
          <w:rFonts w:ascii="Times New Roman" w:hAnsi="Times New Roman"/>
          <w:sz w:val="20"/>
          <w:szCs w:val="20"/>
        </w:rPr>
        <w:t>M&amp;S</w:t>
      </w:r>
      <w:r w:rsidR="001B4104" w:rsidRPr="001B4104">
        <w:rPr>
          <w:rFonts w:ascii="Times New Roman" w:hAnsi="Times New Roman"/>
          <w:sz w:val="20"/>
          <w:szCs w:val="20"/>
        </w:rPr>
        <w:t xml:space="preserve"> into healthcare</w:t>
      </w:r>
      <w:r>
        <w:rPr>
          <w:rFonts w:ascii="Times New Roman" w:hAnsi="Times New Roman"/>
          <w:sz w:val="20"/>
          <w:szCs w:val="20"/>
        </w:rPr>
        <w:t xml:space="preserve">. </w:t>
      </w:r>
      <w:r w:rsidR="00340CF3" w:rsidRPr="00340CF3">
        <w:rPr>
          <w:rFonts w:ascii="Times New Roman" w:hAnsi="Times New Roman"/>
          <w:color w:val="auto"/>
          <w:sz w:val="20"/>
          <w:szCs w:val="20"/>
        </w:rPr>
        <w:t xml:space="preserve"> </w:t>
      </w:r>
      <w:r w:rsidR="00340CF3">
        <w:rPr>
          <w:rFonts w:ascii="Times New Roman" w:hAnsi="Times New Roman"/>
          <w:color w:val="auto"/>
          <w:sz w:val="20"/>
          <w:szCs w:val="20"/>
        </w:rPr>
        <w:t>In doing so</w:t>
      </w:r>
      <w:r w:rsidR="00340CF3" w:rsidRPr="001401E8">
        <w:rPr>
          <w:rFonts w:ascii="Times New Roman" w:hAnsi="Times New Roman"/>
          <w:color w:val="auto"/>
          <w:sz w:val="20"/>
          <w:szCs w:val="20"/>
        </w:rPr>
        <w:t xml:space="preserve">, the Committee is dedicated to work with the </w:t>
      </w:r>
      <w:r w:rsidR="00842987">
        <w:rPr>
          <w:rFonts w:ascii="Times New Roman" w:hAnsi="Times New Roman"/>
          <w:color w:val="auto"/>
          <w:sz w:val="20"/>
          <w:szCs w:val="20"/>
        </w:rPr>
        <w:t>IMAG/</w:t>
      </w:r>
      <w:r w:rsidR="00340CF3" w:rsidRPr="001401E8">
        <w:rPr>
          <w:rFonts w:ascii="Times New Roman" w:hAnsi="Times New Roman"/>
          <w:color w:val="auto"/>
          <w:sz w:val="20"/>
          <w:szCs w:val="20"/>
        </w:rPr>
        <w:t>MSM community to develop consistent terminology</w:t>
      </w:r>
      <w:r w:rsidR="00340CF3">
        <w:rPr>
          <w:rFonts w:ascii="Times New Roman" w:hAnsi="Times New Roman"/>
          <w:color w:val="auto"/>
          <w:sz w:val="20"/>
          <w:szCs w:val="20"/>
        </w:rPr>
        <w:t>,</w:t>
      </w:r>
      <w:r w:rsidR="00340CF3" w:rsidRPr="001401E8">
        <w:rPr>
          <w:rFonts w:ascii="Times New Roman" w:hAnsi="Times New Roman"/>
          <w:color w:val="auto"/>
          <w:sz w:val="20"/>
          <w:szCs w:val="20"/>
        </w:rPr>
        <w:t xml:space="preserve"> illustrative workflows</w:t>
      </w:r>
      <w:r w:rsidR="00340CF3">
        <w:rPr>
          <w:rFonts w:ascii="Times New Roman" w:hAnsi="Times New Roman"/>
          <w:color w:val="auto"/>
          <w:sz w:val="20"/>
          <w:szCs w:val="20"/>
        </w:rPr>
        <w:t xml:space="preserve">, </w:t>
      </w:r>
      <w:r w:rsidR="00340CF3" w:rsidRPr="001401E8">
        <w:rPr>
          <w:rFonts w:ascii="Times New Roman" w:hAnsi="Times New Roman"/>
          <w:color w:val="auto"/>
          <w:sz w:val="20"/>
          <w:szCs w:val="20"/>
        </w:rPr>
        <w:t>and resources for promoting credible practice of modeling and simulation in healthcare.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8D4826" w:rsidRDefault="008D4826">
      <w:pPr>
        <w:pStyle w:val="NoSpacing"/>
        <w:jc w:val="both"/>
        <w:rPr>
          <w:rFonts w:ascii="Times New Roman" w:hAnsi="Times New Roman"/>
          <w:sz w:val="20"/>
          <w:szCs w:val="20"/>
        </w:rPr>
      </w:pPr>
    </w:p>
    <w:p w:rsidR="008D4826" w:rsidRPr="00DA48F2" w:rsidRDefault="007D6285">
      <w:pPr>
        <w:pStyle w:val="NoSpacing"/>
        <w:jc w:val="both"/>
        <w:rPr>
          <w:rFonts w:ascii="Times New Roman" w:hAnsi="Times New Roman"/>
          <w:b/>
          <w:sz w:val="18"/>
          <w:szCs w:val="20"/>
        </w:rPr>
      </w:pPr>
      <w:r w:rsidRPr="00DA48F2">
        <w:rPr>
          <w:rFonts w:ascii="Times New Roman" w:hAnsi="Times New Roman"/>
          <w:b/>
          <w:sz w:val="18"/>
          <w:szCs w:val="20"/>
        </w:rPr>
        <w:t>References: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Grace C. Peng, “Editorial: What biomedical engineers can do to impact </w:t>
      </w:r>
      <w:proofErr w:type="spellStart"/>
      <w:r w:rsidRPr="00DA48F2">
        <w:rPr>
          <w:rFonts w:ascii="Times New Roman" w:hAnsi="Times New Roman"/>
          <w:sz w:val="18"/>
          <w:szCs w:val="20"/>
        </w:rPr>
        <w:t>multiscale</w:t>
      </w:r>
      <w:proofErr w:type="spellEnd"/>
      <w:r w:rsidRPr="00DA48F2">
        <w:rPr>
          <w:rFonts w:ascii="Times New Roman" w:hAnsi="Times New Roman"/>
          <w:sz w:val="18"/>
          <w:szCs w:val="20"/>
        </w:rPr>
        <w:t xml:space="preserve"> modeling”. </w:t>
      </w:r>
      <w:r w:rsidRPr="00DA48F2">
        <w:rPr>
          <w:rFonts w:ascii="Times New Roman" w:hAnsi="Times New Roman"/>
          <w:i/>
          <w:sz w:val="18"/>
          <w:szCs w:val="20"/>
        </w:rPr>
        <w:t>IEEE Trans. Biomed. Eng.</w:t>
      </w:r>
      <w:r w:rsidRPr="00DA48F2">
        <w:rPr>
          <w:rFonts w:ascii="Times New Roman" w:hAnsi="Times New Roman"/>
          <w:sz w:val="18"/>
          <w:szCs w:val="20"/>
        </w:rPr>
        <w:t>, 58:3440-2, 2011.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U.S. Food and Drug Administration, </w:t>
      </w:r>
      <w:r w:rsidRPr="00DA48F2">
        <w:rPr>
          <w:rFonts w:ascii="Times New Roman" w:hAnsi="Times New Roman"/>
          <w:i/>
          <w:sz w:val="18"/>
          <w:szCs w:val="20"/>
        </w:rPr>
        <w:t>Advancing Regulatory Science at FDA</w:t>
      </w:r>
      <w:r w:rsidRPr="00DA48F2">
        <w:rPr>
          <w:rFonts w:ascii="Times New Roman" w:hAnsi="Times New Roman"/>
          <w:sz w:val="18"/>
          <w:szCs w:val="20"/>
        </w:rPr>
        <w:t>, A Strategic Plan, August 2011.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J.A. </w:t>
      </w:r>
      <w:proofErr w:type="spellStart"/>
      <w:r w:rsidRPr="00DA48F2">
        <w:rPr>
          <w:rFonts w:ascii="Times New Roman" w:hAnsi="Times New Roman"/>
          <w:sz w:val="18"/>
          <w:szCs w:val="20"/>
        </w:rPr>
        <w:t>Kopec</w:t>
      </w:r>
      <w:proofErr w:type="spellEnd"/>
      <w:r w:rsidRPr="00DA48F2">
        <w:rPr>
          <w:rFonts w:ascii="Times New Roman" w:hAnsi="Times New Roman"/>
          <w:sz w:val="18"/>
          <w:szCs w:val="20"/>
        </w:rPr>
        <w:t xml:space="preserve"> et al., “Validation of population-based disease simulation models: a review of concepts and methods,” </w:t>
      </w:r>
      <w:r w:rsidRPr="00DA48F2">
        <w:rPr>
          <w:rFonts w:ascii="Times New Roman" w:hAnsi="Times New Roman"/>
          <w:i/>
          <w:sz w:val="18"/>
          <w:szCs w:val="20"/>
        </w:rPr>
        <w:t>BMC Public Health</w:t>
      </w:r>
      <w:r w:rsidRPr="00DA48F2">
        <w:rPr>
          <w:rFonts w:ascii="Times New Roman" w:hAnsi="Times New Roman"/>
          <w:sz w:val="18"/>
          <w:szCs w:val="20"/>
        </w:rPr>
        <w:t>, Vol. 10, Issue 710, November 2010.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D. </w:t>
      </w:r>
      <w:proofErr w:type="spellStart"/>
      <w:r w:rsidRPr="00DA48F2">
        <w:rPr>
          <w:rFonts w:ascii="Times New Roman" w:hAnsi="Times New Roman"/>
          <w:sz w:val="18"/>
          <w:szCs w:val="20"/>
        </w:rPr>
        <w:t>Waltemath</w:t>
      </w:r>
      <w:proofErr w:type="spellEnd"/>
      <w:r w:rsidRPr="00DA48F2">
        <w:rPr>
          <w:rFonts w:ascii="Times New Roman" w:hAnsi="Times New Roman"/>
          <w:sz w:val="18"/>
          <w:szCs w:val="20"/>
        </w:rPr>
        <w:t xml:space="preserve"> et al., “Reproducible computational biology experiments with SED-ML - The Simulation Experiment Description Markup Language,” </w:t>
      </w:r>
      <w:r w:rsidRPr="00DA48F2">
        <w:rPr>
          <w:rFonts w:ascii="Times New Roman" w:hAnsi="Times New Roman"/>
          <w:i/>
          <w:sz w:val="18"/>
          <w:szCs w:val="20"/>
        </w:rPr>
        <w:t>BMC Syst. Biol.</w:t>
      </w:r>
      <w:r w:rsidRPr="00DA48F2">
        <w:rPr>
          <w:rFonts w:ascii="Times New Roman" w:hAnsi="Times New Roman"/>
          <w:sz w:val="18"/>
          <w:szCs w:val="20"/>
        </w:rPr>
        <w:t>, Vol. 5, Issue 198, December 2011.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Erdemir, A et al., “Considerations for Reporting Finite Element Analysis Studies in Biomechanics,” </w:t>
      </w:r>
      <w:r w:rsidRPr="00DA48F2">
        <w:rPr>
          <w:rFonts w:ascii="Times New Roman" w:hAnsi="Times New Roman"/>
          <w:i/>
          <w:sz w:val="18"/>
          <w:szCs w:val="20"/>
        </w:rPr>
        <w:t xml:space="preserve">J. </w:t>
      </w:r>
      <w:proofErr w:type="spellStart"/>
      <w:r w:rsidRPr="00DA48F2">
        <w:rPr>
          <w:rFonts w:ascii="Times New Roman" w:hAnsi="Times New Roman"/>
          <w:i/>
          <w:sz w:val="18"/>
          <w:szCs w:val="20"/>
        </w:rPr>
        <w:t>Biomech</w:t>
      </w:r>
      <w:proofErr w:type="spellEnd"/>
      <w:r w:rsidRPr="00DA48F2">
        <w:rPr>
          <w:rFonts w:ascii="Times New Roman" w:hAnsi="Times New Roman"/>
          <w:i/>
          <w:sz w:val="18"/>
          <w:szCs w:val="20"/>
        </w:rPr>
        <w:t>.</w:t>
      </w:r>
      <w:r w:rsidRPr="00DA48F2">
        <w:rPr>
          <w:rFonts w:ascii="Times New Roman" w:hAnsi="Times New Roman"/>
          <w:sz w:val="18"/>
          <w:szCs w:val="20"/>
        </w:rPr>
        <w:t>, Vol. 45, pp. 625-33, 2012.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L. Mulugeta and A. Erdemir, “Committee on credible practice of modeling &amp; simulation in healthcare”, </w:t>
      </w:r>
      <w:r w:rsidRPr="00DA48F2">
        <w:rPr>
          <w:rFonts w:ascii="Times New Roman" w:hAnsi="Times New Roman"/>
          <w:i/>
          <w:sz w:val="18"/>
          <w:szCs w:val="20"/>
        </w:rPr>
        <w:t>ASME 2013 Frontiers in Medical Devices,</w:t>
      </w:r>
      <w:r w:rsidRPr="00DA48F2">
        <w:rPr>
          <w:rFonts w:ascii="Times New Roman" w:hAnsi="Times New Roman"/>
          <w:sz w:val="18"/>
          <w:szCs w:val="20"/>
        </w:rPr>
        <w:t xml:space="preserve"> Washington, DC, 2013, 10.1115/FMD2013-16080.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A. Erdemir, et al., “Ten ‘not so simple’ rules of credible practice of modeling and simulation in healthcare: A multidisciplinary committee perspective”, </w:t>
      </w:r>
      <w:r w:rsidRPr="00DA48F2">
        <w:rPr>
          <w:rFonts w:ascii="Times New Roman" w:hAnsi="Times New Roman"/>
          <w:i/>
          <w:sz w:val="18"/>
          <w:szCs w:val="20"/>
        </w:rPr>
        <w:t>2015 Frontiers in Medical Devices,</w:t>
      </w:r>
      <w:r w:rsidRPr="00DA48F2">
        <w:rPr>
          <w:rFonts w:ascii="Times New Roman" w:hAnsi="Times New Roman"/>
          <w:sz w:val="18"/>
          <w:szCs w:val="20"/>
        </w:rPr>
        <w:t xml:space="preserve"> Washington, DC, 2015.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L. Mulugeta et al., Developing Credible Practice Guidelines for Modeling and Simulation in Healthcare: A Multifaceted Approach, </w:t>
      </w:r>
      <w:r w:rsidRPr="00DA48F2">
        <w:rPr>
          <w:rFonts w:ascii="Times New Roman" w:hAnsi="Times New Roman"/>
          <w:i/>
          <w:sz w:val="18"/>
          <w:szCs w:val="20"/>
        </w:rPr>
        <w:t>38</w:t>
      </w:r>
      <w:r w:rsidRPr="00DA48F2">
        <w:rPr>
          <w:rFonts w:ascii="Times New Roman" w:hAnsi="Times New Roman"/>
          <w:i/>
          <w:sz w:val="18"/>
          <w:szCs w:val="20"/>
          <w:vertAlign w:val="superscript"/>
        </w:rPr>
        <w:t>th</w:t>
      </w:r>
      <w:r w:rsidRPr="00DA48F2">
        <w:rPr>
          <w:rFonts w:ascii="Times New Roman" w:hAnsi="Times New Roman"/>
          <w:i/>
          <w:sz w:val="18"/>
          <w:szCs w:val="20"/>
        </w:rPr>
        <w:t xml:space="preserve"> Annual International Conference of the IEEE Engineering in Medicine and Biology Society</w:t>
      </w:r>
      <w:r w:rsidRPr="00DA48F2">
        <w:rPr>
          <w:rFonts w:ascii="Times New Roman" w:hAnsi="Times New Roman"/>
          <w:sz w:val="18"/>
          <w:szCs w:val="20"/>
        </w:rPr>
        <w:t>, 16-20 August 2016, Orlando, FL.</w:t>
      </w:r>
    </w:p>
    <w:p w:rsidR="008D4826" w:rsidRPr="00DA48F2" w:rsidRDefault="007D6285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>T.M. Morrison, et al., “Credible Practice of Modeling and Simulation in Healthcare”, Virtual Physiological Human Conference 2016, 26-28 September 2016, Amsterdam, Netherlands.</w:t>
      </w:r>
    </w:p>
    <w:p w:rsidR="008D4826" w:rsidRPr="00DA48F2" w:rsidRDefault="00DA48F2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sz w:val="18"/>
          <w:szCs w:val="20"/>
        </w:rPr>
      </w:pPr>
      <w:r w:rsidRPr="00DA48F2">
        <w:rPr>
          <w:rFonts w:ascii="Times New Roman" w:hAnsi="Times New Roman"/>
          <w:sz w:val="18"/>
          <w:szCs w:val="20"/>
        </w:rPr>
        <w:t xml:space="preserve">Predictive </w:t>
      </w:r>
      <w:proofErr w:type="spellStart"/>
      <w:r w:rsidRPr="00DA48F2">
        <w:rPr>
          <w:rFonts w:ascii="Times New Roman" w:hAnsi="Times New Roman"/>
          <w:sz w:val="18"/>
          <w:szCs w:val="20"/>
        </w:rPr>
        <w:t>Multiscale</w:t>
      </w:r>
      <w:proofErr w:type="spellEnd"/>
      <w:r w:rsidRPr="00DA48F2">
        <w:rPr>
          <w:rFonts w:ascii="Times New Roman" w:hAnsi="Times New Roman"/>
          <w:sz w:val="18"/>
          <w:szCs w:val="20"/>
        </w:rPr>
        <w:t xml:space="preserve"> Models for Biomedical, Biological, Behavioral, Environme</w:t>
      </w:r>
      <w:r w:rsidR="00CC0A4B">
        <w:rPr>
          <w:rFonts w:ascii="Times New Roman" w:hAnsi="Times New Roman"/>
          <w:sz w:val="18"/>
          <w:szCs w:val="20"/>
        </w:rPr>
        <w:t>ntal and Clinical Research,</w:t>
      </w:r>
      <w:r w:rsidRPr="00DA48F2">
        <w:rPr>
          <w:rFonts w:ascii="Times New Roman" w:hAnsi="Times New Roman"/>
          <w:sz w:val="18"/>
          <w:szCs w:val="20"/>
        </w:rPr>
        <w:t xml:space="preserve"> </w:t>
      </w:r>
      <w:r w:rsidR="007D6285" w:rsidRPr="00DA48F2">
        <w:rPr>
          <w:rFonts w:ascii="Times New Roman" w:hAnsi="Times New Roman"/>
          <w:sz w:val="18"/>
          <w:szCs w:val="20"/>
        </w:rPr>
        <w:t xml:space="preserve">PAR-15-085 (NIH U01), </w:t>
      </w:r>
      <w:hyperlink r:id="rId11">
        <w:r w:rsidR="007D6285" w:rsidRPr="00DA48F2">
          <w:rPr>
            <w:rStyle w:val="InternetLink"/>
            <w:rFonts w:ascii="Times New Roman" w:hAnsi="Times New Roman"/>
            <w:sz w:val="18"/>
            <w:szCs w:val="20"/>
          </w:rPr>
          <w:t>http://grants.nih.gov/grants/guide/pa-files/PAR-15-085.html</w:t>
        </w:r>
      </w:hyperlink>
      <w:r w:rsidR="007D6285" w:rsidRPr="00DA48F2">
        <w:rPr>
          <w:rFonts w:ascii="Times New Roman" w:hAnsi="Times New Roman"/>
          <w:sz w:val="18"/>
          <w:szCs w:val="20"/>
        </w:rPr>
        <w:t>, May 22, 2016</w:t>
      </w:r>
    </w:p>
    <w:p w:rsidR="008D4826" w:rsidRPr="00DA48F2" w:rsidRDefault="008D4826">
      <w:pPr>
        <w:pStyle w:val="NoSpacing"/>
        <w:jc w:val="both"/>
        <w:rPr>
          <w:rFonts w:ascii="Times New Roman" w:hAnsi="Times New Roman"/>
          <w:sz w:val="18"/>
          <w:szCs w:val="20"/>
        </w:rPr>
      </w:pPr>
    </w:p>
    <w:p w:rsidR="008D4826" w:rsidRPr="00DA48F2" w:rsidRDefault="007D6285" w:rsidP="00275231">
      <w:pPr>
        <w:spacing w:after="0" w:line="240" w:lineRule="auto"/>
        <w:jc w:val="both"/>
        <w:rPr>
          <w:rFonts w:ascii="Times New Roman" w:hAnsi="Times New Roman"/>
          <w:color w:val="000000"/>
          <w:sz w:val="18"/>
          <w:szCs w:val="19"/>
        </w:rPr>
      </w:pPr>
      <w:r w:rsidRPr="00DA48F2">
        <w:rPr>
          <w:rFonts w:ascii="Times New Roman" w:hAnsi="Times New Roman"/>
          <w:b/>
          <w:bCs/>
          <w:color w:val="000000"/>
          <w:sz w:val="18"/>
          <w:szCs w:val="20"/>
        </w:rPr>
        <w:t xml:space="preserve">Acknowledgments: </w:t>
      </w:r>
      <w:r w:rsidRPr="00DA48F2">
        <w:rPr>
          <w:rFonts w:ascii="Times New Roman" w:hAnsi="Times New Roman"/>
          <w:color w:val="000000"/>
          <w:sz w:val="18"/>
          <w:szCs w:val="20"/>
        </w:rPr>
        <w:t xml:space="preserve">The authors would like to acknowledge the Interagency Modeling and Analysis Group and the </w:t>
      </w:r>
      <w:proofErr w:type="spellStart"/>
      <w:r w:rsidRPr="00DA48F2">
        <w:rPr>
          <w:rFonts w:ascii="Times New Roman" w:hAnsi="Times New Roman"/>
          <w:color w:val="000000"/>
          <w:sz w:val="18"/>
          <w:szCs w:val="20"/>
        </w:rPr>
        <w:t>Multiscale</w:t>
      </w:r>
      <w:proofErr w:type="spellEnd"/>
      <w:r w:rsidRPr="00DA48F2">
        <w:rPr>
          <w:rFonts w:ascii="Times New Roman" w:hAnsi="Times New Roman"/>
          <w:color w:val="000000"/>
          <w:sz w:val="18"/>
          <w:szCs w:val="20"/>
        </w:rPr>
        <w:t xml:space="preserve"> Modeling Consortium, who enabled activities of the Committee. Detailed author affiliations can be accessed at </w:t>
      </w:r>
      <w:r w:rsidRPr="00DA48F2">
        <w:rPr>
          <w:rFonts w:ascii="Times New Roman" w:hAnsi="Times New Roman"/>
          <w:color w:val="000081"/>
          <w:sz w:val="18"/>
          <w:szCs w:val="20"/>
        </w:rPr>
        <w:t>https://simtk.org/plugins/moinmoin/cpms/CPMS%20Membe</w:t>
      </w:r>
      <w:r w:rsidRPr="00DA48F2">
        <w:rPr>
          <w:rFonts w:ascii="Times New Roman" w:hAnsi="Times New Roman"/>
          <w:color w:val="000081"/>
          <w:sz w:val="18"/>
          <w:szCs w:val="19"/>
        </w:rPr>
        <w:t>rs</w:t>
      </w:r>
      <w:r w:rsidRPr="00DA48F2">
        <w:rPr>
          <w:rFonts w:ascii="Times New Roman" w:hAnsi="Times New Roman"/>
          <w:color w:val="000000"/>
          <w:sz w:val="18"/>
          <w:szCs w:val="19"/>
        </w:rPr>
        <w:t>.</w:t>
      </w:r>
    </w:p>
    <w:sectPr w:rsidR="008D4826" w:rsidRPr="00DA48F2" w:rsidSect="008D4826">
      <w:headerReference w:type="default" r:id="rId12"/>
      <w:footerReference w:type="default" r:id="rId13"/>
      <w:pgSz w:w="11906" w:h="16838"/>
      <w:pgMar w:top="1418" w:right="1418" w:bottom="1418" w:left="1418" w:header="709" w:footer="709" w:gutter="0"/>
      <w:cols w:space="720"/>
      <w:formProt w:val="0"/>
      <w:docGrid w:linePitch="360" w:charSpace="-2049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7E463E2" w15:done="0"/>
  <w15:commentEx w15:paraId="7D9A7332" w15:done="0"/>
  <w15:commentEx w15:paraId="29425301" w15:done="0"/>
  <w15:commentEx w15:paraId="22014F1C" w15:paraIdParent="29425301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BF6" w:rsidRDefault="00A95BF6" w:rsidP="008D4826">
      <w:pPr>
        <w:spacing w:after="0" w:line="240" w:lineRule="auto"/>
      </w:pPr>
      <w:r>
        <w:separator/>
      </w:r>
    </w:p>
  </w:endnote>
  <w:endnote w:type="continuationSeparator" w:id="0">
    <w:p w:rsidR="00A95BF6" w:rsidRDefault="00A95BF6" w:rsidP="008D4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enQuanYi Zen Hei Sharp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Lohit Devanaga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826" w:rsidRDefault="008D482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BF6" w:rsidRDefault="00A95BF6" w:rsidP="008D4826">
      <w:pPr>
        <w:spacing w:after="0" w:line="240" w:lineRule="auto"/>
      </w:pPr>
      <w:r>
        <w:separator/>
      </w:r>
    </w:p>
  </w:footnote>
  <w:footnote w:type="continuationSeparator" w:id="0">
    <w:p w:rsidR="00A95BF6" w:rsidRDefault="00A95BF6" w:rsidP="008D48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826" w:rsidRDefault="008D482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24210"/>
    <w:multiLevelType w:val="multilevel"/>
    <w:tmpl w:val="3DA2F76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55F0DCA"/>
    <w:multiLevelType w:val="multilevel"/>
    <w:tmpl w:val="83305EB8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c Horner">
    <w15:presenceInfo w15:providerId="Windows Live" w15:userId="5072f04126f22971"/>
  </w15:person>
  <w15:person w15:author="Joy Ku">
    <w15:presenceInfo w15:providerId="None" w15:userId="Joy Ku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4826"/>
    <w:rsid w:val="00061110"/>
    <w:rsid w:val="00077882"/>
    <w:rsid w:val="00126B7D"/>
    <w:rsid w:val="001B4104"/>
    <w:rsid w:val="00244479"/>
    <w:rsid w:val="00275231"/>
    <w:rsid w:val="00313CDE"/>
    <w:rsid w:val="00334E93"/>
    <w:rsid w:val="00340CF3"/>
    <w:rsid w:val="003A26C1"/>
    <w:rsid w:val="00446822"/>
    <w:rsid w:val="004E7B37"/>
    <w:rsid w:val="00555661"/>
    <w:rsid w:val="006F46DC"/>
    <w:rsid w:val="007D6285"/>
    <w:rsid w:val="00820981"/>
    <w:rsid w:val="00842987"/>
    <w:rsid w:val="00844468"/>
    <w:rsid w:val="008D4826"/>
    <w:rsid w:val="009D0956"/>
    <w:rsid w:val="009F76D5"/>
    <w:rsid w:val="00A24434"/>
    <w:rsid w:val="00A26554"/>
    <w:rsid w:val="00A84063"/>
    <w:rsid w:val="00A95BF6"/>
    <w:rsid w:val="00AF513B"/>
    <w:rsid w:val="00B572B5"/>
    <w:rsid w:val="00B833B1"/>
    <w:rsid w:val="00B9629A"/>
    <w:rsid w:val="00C0516F"/>
    <w:rsid w:val="00CA6A2C"/>
    <w:rsid w:val="00CC0A4B"/>
    <w:rsid w:val="00D8225D"/>
    <w:rsid w:val="00DA48F2"/>
    <w:rsid w:val="00DC69DF"/>
    <w:rsid w:val="00DF2D06"/>
    <w:rsid w:val="00E30742"/>
    <w:rsid w:val="00F21952"/>
    <w:rsid w:val="00F357AA"/>
    <w:rsid w:val="00FD3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WenQuanYi Zen Hei Sharp" w:hAnsi="Calibri" w:cs="Times New Roman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AD9"/>
    <w:pPr>
      <w:suppressAutoHyphens/>
      <w:spacing w:after="200"/>
    </w:pPr>
    <w:rPr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B2685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685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685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685"/>
    <w:rPr>
      <w:rFonts w:ascii="Tahoma" w:hAnsi="Tahoma" w:cs="Tahoma"/>
      <w:sz w:val="16"/>
      <w:szCs w:val="16"/>
    </w:rPr>
  </w:style>
  <w:style w:type="character" w:customStyle="1" w:styleId="InternetLink">
    <w:name w:val="Internet Link"/>
    <w:basedOn w:val="DefaultParagraphFont"/>
    <w:uiPriority w:val="99"/>
    <w:unhideWhenUsed/>
    <w:rsid w:val="002F5B0D"/>
    <w:rPr>
      <w:color w:val="0000FF"/>
      <w:u w:val="singl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7C06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9A7C06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A7C06"/>
    <w:rPr>
      <w:color w:val="800080"/>
      <w:u w:val="singl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84250"/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4250"/>
    <w:rPr>
      <w:lang w:val="en-GB"/>
    </w:rPr>
  </w:style>
  <w:style w:type="paragraph" w:customStyle="1" w:styleId="Heading">
    <w:name w:val="Heading"/>
    <w:basedOn w:val="Normal"/>
    <w:next w:val="TextBody"/>
    <w:rsid w:val="008D4826"/>
    <w:pPr>
      <w:keepNext/>
      <w:spacing w:before="240" w:after="120"/>
    </w:pPr>
    <w:rPr>
      <w:rFonts w:ascii="Liberation Sans" w:hAnsi="Liberation Sans" w:cs="Lohit Devanagari"/>
      <w:sz w:val="28"/>
      <w:szCs w:val="28"/>
    </w:rPr>
  </w:style>
  <w:style w:type="paragraph" w:customStyle="1" w:styleId="TextBody">
    <w:name w:val="Text Body"/>
    <w:basedOn w:val="Normal"/>
    <w:rsid w:val="008D4826"/>
    <w:pPr>
      <w:spacing w:after="140" w:line="288" w:lineRule="auto"/>
    </w:pPr>
  </w:style>
  <w:style w:type="paragraph" w:styleId="List">
    <w:name w:val="List"/>
    <w:basedOn w:val="TextBody"/>
    <w:rsid w:val="008D4826"/>
    <w:rPr>
      <w:rFonts w:cs="Lohit Devanagari"/>
    </w:rPr>
  </w:style>
  <w:style w:type="paragraph" w:styleId="Caption">
    <w:name w:val="caption"/>
    <w:basedOn w:val="Normal"/>
    <w:next w:val="Normal"/>
    <w:uiPriority w:val="35"/>
    <w:unhideWhenUsed/>
    <w:qFormat/>
    <w:rsid w:val="00B96A68"/>
    <w:pPr>
      <w:spacing w:line="240" w:lineRule="auto"/>
    </w:pPr>
    <w:rPr>
      <w:b/>
      <w:bCs/>
      <w:color w:val="4F81BD"/>
      <w:sz w:val="18"/>
      <w:szCs w:val="18"/>
    </w:rPr>
  </w:style>
  <w:style w:type="paragraph" w:customStyle="1" w:styleId="Index">
    <w:name w:val="Index"/>
    <w:basedOn w:val="Normal"/>
    <w:rsid w:val="008D4826"/>
    <w:pPr>
      <w:suppressLineNumbers/>
    </w:pPr>
    <w:rPr>
      <w:rFonts w:cs="Lohit Devanagari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685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rsid w:val="008B268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68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E5F7A"/>
    <w:pPr>
      <w:suppressAutoHyphens/>
      <w:spacing w:line="240" w:lineRule="auto"/>
    </w:pPr>
    <w:rPr>
      <w:color w:val="00000A"/>
    </w:rPr>
  </w:style>
  <w:style w:type="paragraph" w:styleId="ListParagraph">
    <w:name w:val="List Paragraph"/>
    <w:basedOn w:val="Normal"/>
    <w:uiPriority w:val="34"/>
    <w:qFormat/>
    <w:rsid w:val="00EB550B"/>
    <w:pPr>
      <w:ind w:left="720"/>
      <w:contextualSpacing/>
    </w:pPr>
  </w:style>
  <w:style w:type="paragraph" w:customStyle="1" w:styleId="EndNoteBibliographyTitle">
    <w:name w:val="EndNote Bibliography Title"/>
    <w:basedOn w:val="Normal"/>
    <w:rsid w:val="00EB550B"/>
    <w:pPr>
      <w:spacing w:after="0"/>
      <w:jc w:val="center"/>
    </w:pPr>
  </w:style>
  <w:style w:type="paragraph" w:customStyle="1" w:styleId="EndNoteBibliography">
    <w:name w:val="EndNote Bibliography"/>
    <w:basedOn w:val="Normal"/>
    <w:rsid w:val="00EB550B"/>
    <w:pPr>
      <w:spacing w:line="240" w:lineRule="auto"/>
      <w:jc w:val="both"/>
    </w:pPr>
  </w:style>
  <w:style w:type="paragraph" w:customStyle="1" w:styleId="tablecolsubhead">
    <w:name w:val="table col subhead"/>
    <w:basedOn w:val="Normal"/>
    <w:rsid w:val="003A4DE2"/>
    <w:pPr>
      <w:spacing w:after="0" w:line="240" w:lineRule="auto"/>
      <w:jc w:val="center"/>
    </w:pPr>
    <w:rPr>
      <w:rFonts w:ascii="Times New Roman" w:eastAsia="SimSun" w:hAnsi="Times New Roman"/>
      <w:b/>
      <w:bCs/>
      <w:i/>
      <w:iCs/>
      <w:sz w:val="15"/>
      <w:szCs w:val="15"/>
    </w:rPr>
  </w:style>
  <w:style w:type="paragraph" w:customStyle="1" w:styleId="tablecopy">
    <w:name w:val="table copy"/>
    <w:rsid w:val="003A4DE2"/>
    <w:pPr>
      <w:suppressAutoHyphens/>
      <w:spacing w:line="240" w:lineRule="auto"/>
      <w:jc w:val="both"/>
    </w:pPr>
    <w:rPr>
      <w:rFonts w:ascii="Times New Roman" w:eastAsia="SimSun" w:hAnsi="Times New Roman"/>
      <w:color w:val="00000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A7C06"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984250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semiHidden/>
    <w:unhideWhenUsed/>
    <w:rsid w:val="00984250"/>
    <w:pPr>
      <w:tabs>
        <w:tab w:val="center" w:pos="4680"/>
        <w:tab w:val="right" w:pos="9360"/>
      </w:tabs>
      <w:spacing w:after="0" w:line="240" w:lineRule="auto"/>
    </w:pPr>
  </w:style>
  <w:style w:type="paragraph" w:styleId="Revision">
    <w:name w:val="Revision"/>
    <w:uiPriority w:val="99"/>
    <w:semiHidden/>
    <w:rsid w:val="000E23AB"/>
    <w:pPr>
      <w:suppressAutoHyphens/>
      <w:spacing w:line="240" w:lineRule="auto"/>
    </w:pPr>
    <w:rPr>
      <w:color w:val="00000A"/>
      <w:lang w:val="en-GB"/>
    </w:rPr>
  </w:style>
  <w:style w:type="paragraph" w:styleId="NormalWeb">
    <w:name w:val="Normal (Web)"/>
    <w:basedOn w:val="Normal"/>
    <w:unhideWhenUsed/>
    <w:rsid w:val="00403B71"/>
    <w:pPr>
      <w:spacing w:after="280"/>
    </w:pPr>
    <w:rPr>
      <w:rFonts w:ascii="Times New Roman" w:eastAsia="Times New Roman" w:hAnsi="Times New Roman"/>
      <w:sz w:val="24"/>
      <w:szCs w:val="24"/>
    </w:rPr>
  </w:style>
  <w:style w:type="paragraph" w:customStyle="1" w:styleId="FrameContents">
    <w:name w:val="Frame Contents"/>
    <w:basedOn w:val="Normal"/>
    <w:rsid w:val="008D4826"/>
  </w:style>
  <w:style w:type="table" w:styleId="TableGrid">
    <w:name w:val="Table Grid"/>
    <w:basedOn w:val="TableNormal"/>
    <w:uiPriority w:val="59"/>
    <w:rsid w:val="003A4DE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2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grants.nih.gov/grants/guide/pa-files/PAR-15-085.htm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iki.simtk.org/cpm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3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56C2FAFD-19A9-4DC6-BA91-D9D7EB009D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B967A61-D1F1-43B2-ACDD-480318077A2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DD7A9C-0A6A-4095-8B85-498DB4046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829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VPH2016</dc:creator>
  <cp:lastModifiedBy>Lealem</cp:lastModifiedBy>
  <cp:revision>4</cp:revision>
  <dcterms:created xsi:type="dcterms:W3CDTF">2017-02-28T05:03:00Z</dcterms:created>
  <dcterms:modified xsi:type="dcterms:W3CDTF">2017-03-01T19:03:00Z</dcterms:modified>
  <dc:language>en-US</dc:language>
</cp:coreProperties>
</file>