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F392671" w14:textId="69873C04" w:rsidR="004E628A" w:rsidRPr="00A64250" w:rsidRDefault="00787299">
      <w:pPr>
        <w:pStyle w:val="normal0"/>
        <w:spacing w:before="120" w:line="240" w:lineRule="auto"/>
        <w:jc w:val="center"/>
        <w:rPr>
          <w:sz w:val="20"/>
        </w:rPr>
      </w:pPr>
      <w:r w:rsidRPr="00A64250">
        <w:rPr>
          <w:rFonts w:ascii="Calibri" w:eastAsia="Calibri" w:hAnsi="Calibri" w:cs="Calibri"/>
          <w:szCs w:val="24"/>
        </w:rPr>
        <w:t xml:space="preserve"> </w:t>
      </w:r>
      <w:r w:rsidR="00A64250">
        <w:rPr>
          <w:rFonts w:ascii="Calibri" w:eastAsia="Calibri" w:hAnsi="Calibri" w:cs="Calibri"/>
          <w:b/>
          <w:szCs w:val="24"/>
        </w:rPr>
        <w:t>An Abridged Mu</w:t>
      </w:r>
      <w:r w:rsidRPr="00A64250">
        <w:rPr>
          <w:rFonts w:ascii="Calibri" w:eastAsia="Calibri" w:hAnsi="Calibri" w:cs="Calibri"/>
          <w:b/>
          <w:szCs w:val="24"/>
        </w:rPr>
        <w:t>ltiscale Modeling and Simulation Workflow</w:t>
      </w:r>
    </w:p>
    <w:p w14:paraId="6E848DBF" w14:textId="5F71738E" w:rsidR="004E628A" w:rsidRPr="00A64250" w:rsidRDefault="00787299">
      <w:pPr>
        <w:pStyle w:val="normal0"/>
        <w:spacing w:before="120" w:line="240" w:lineRule="auto"/>
        <w:jc w:val="center"/>
        <w:rPr>
          <w:color w:val="auto"/>
          <w:sz w:val="20"/>
        </w:rPr>
      </w:pPr>
      <w:r w:rsidRPr="00A64250">
        <w:rPr>
          <w:rFonts w:ascii="Calibri" w:eastAsia="Calibri" w:hAnsi="Calibri" w:cs="Calibri"/>
          <w:color w:val="auto"/>
          <w:szCs w:val="24"/>
        </w:rPr>
        <w:t xml:space="preserve">Most appropriate technique resulting from this </w:t>
      </w:r>
      <w:r w:rsidR="00214E07" w:rsidRPr="00A64250">
        <w:rPr>
          <w:rFonts w:ascii="Calibri" w:eastAsia="Calibri" w:hAnsi="Calibri" w:cs="Calibri"/>
          <w:color w:val="auto"/>
          <w:szCs w:val="24"/>
        </w:rPr>
        <w:t xml:space="preserve">abridged </w:t>
      </w:r>
      <w:r w:rsidRPr="00A64250">
        <w:rPr>
          <w:rFonts w:ascii="Calibri" w:eastAsia="Calibri" w:hAnsi="Calibri" w:cs="Calibri"/>
          <w:color w:val="auto"/>
          <w:szCs w:val="24"/>
        </w:rPr>
        <w:t xml:space="preserve">workflow: </w:t>
      </w:r>
      <w:r w:rsidR="00214E07" w:rsidRPr="00A64250">
        <w:rPr>
          <w:rFonts w:ascii="Calibri" w:eastAsia="Calibri" w:hAnsi="Calibri" w:cs="Calibri"/>
          <w:color w:val="auto"/>
          <w:szCs w:val="24"/>
        </w:rPr>
        <w:br/>
      </w:r>
      <w:r w:rsidR="00CD50E9">
        <w:rPr>
          <w:rFonts w:ascii="Calibri" w:eastAsia="Calibri" w:hAnsi="Calibri" w:cs="Calibri"/>
          <w:b/>
          <w:color w:val="0000FF"/>
          <w:szCs w:val="24"/>
        </w:rPr>
        <w:t>A</w:t>
      </w:r>
      <w:r w:rsidRPr="00A64250">
        <w:rPr>
          <w:rFonts w:ascii="Calibri" w:eastAsia="Calibri" w:hAnsi="Calibri" w:cs="Calibri"/>
          <w:b/>
          <w:color w:val="0000FF"/>
          <w:szCs w:val="24"/>
        </w:rPr>
        <w:t xml:space="preserve">gent </w:t>
      </w:r>
      <w:r w:rsidR="00CD50E9">
        <w:rPr>
          <w:rFonts w:ascii="Calibri" w:eastAsia="Calibri" w:hAnsi="Calibri" w:cs="Calibri"/>
          <w:b/>
          <w:color w:val="0000FF"/>
          <w:szCs w:val="24"/>
        </w:rPr>
        <w:t>B</w:t>
      </w:r>
      <w:r w:rsidRPr="00A64250">
        <w:rPr>
          <w:rFonts w:ascii="Calibri" w:eastAsia="Calibri" w:hAnsi="Calibri" w:cs="Calibri"/>
          <w:b/>
          <w:color w:val="0000FF"/>
          <w:szCs w:val="24"/>
        </w:rPr>
        <w:t xml:space="preserve">ased </w:t>
      </w:r>
      <w:r w:rsidR="00CD50E9">
        <w:rPr>
          <w:rFonts w:ascii="Calibri" w:eastAsia="Calibri" w:hAnsi="Calibri" w:cs="Calibri"/>
          <w:b/>
          <w:color w:val="0000FF"/>
          <w:szCs w:val="24"/>
        </w:rPr>
        <w:t>M</w:t>
      </w:r>
      <w:r w:rsidRPr="00A64250">
        <w:rPr>
          <w:rFonts w:ascii="Calibri" w:eastAsia="Calibri" w:hAnsi="Calibri" w:cs="Calibri"/>
          <w:b/>
          <w:color w:val="0000FF"/>
          <w:szCs w:val="24"/>
        </w:rPr>
        <w:t xml:space="preserve">odels and </w:t>
      </w:r>
      <w:r w:rsidR="00CD50E9">
        <w:rPr>
          <w:rFonts w:ascii="Calibri" w:eastAsia="Calibri" w:hAnsi="Calibri" w:cs="Calibri"/>
          <w:b/>
          <w:color w:val="0000FF"/>
          <w:szCs w:val="24"/>
        </w:rPr>
        <w:t>M</w:t>
      </w:r>
      <w:r w:rsidRPr="00A64250">
        <w:rPr>
          <w:rFonts w:ascii="Calibri" w:eastAsia="Calibri" w:hAnsi="Calibri" w:cs="Calibri"/>
          <w:b/>
          <w:color w:val="0000FF"/>
          <w:szCs w:val="24"/>
        </w:rPr>
        <w:t>odules</w:t>
      </w:r>
    </w:p>
    <w:p w14:paraId="6E3ECA46" w14:textId="77777777" w:rsidR="004E628A" w:rsidRPr="00A64250" w:rsidRDefault="00787299">
      <w:pPr>
        <w:pStyle w:val="normal0"/>
        <w:spacing w:line="240" w:lineRule="auto"/>
        <w:jc w:val="center"/>
        <w:rPr>
          <w:sz w:val="20"/>
        </w:rPr>
      </w:pPr>
      <w:r w:rsidRPr="00A64250">
        <w:rPr>
          <w:rFonts w:ascii="Calibri" w:eastAsia="Calibri" w:hAnsi="Calibri" w:cs="Calibri"/>
          <w:i/>
          <w:color w:val="3D85C6"/>
          <w:sz w:val="20"/>
        </w:rPr>
        <w:t>provided by C. Anthony Hunt</w:t>
      </w:r>
    </w:p>
    <w:p w14:paraId="3E1A81C8" w14:textId="6AF262CC" w:rsidR="004764F3" w:rsidRPr="004764F3" w:rsidRDefault="004764F3">
      <w:pPr>
        <w:pStyle w:val="normal0"/>
        <w:spacing w:before="120" w:line="240" w:lineRule="auto"/>
        <w:rPr>
          <w:b/>
          <w:sz w:val="18"/>
          <w:szCs w:val="20"/>
        </w:rPr>
      </w:pPr>
      <w:bookmarkStart w:id="0" w:name="_GoBack"/>
      <w:r w:rsidRPr="004764F3">
        <w:rPr>
          <w:b/>
          <w:sz w:val="18"/>
          <w:szCs w:val="20"/>
        </w:rPr>
        <w:t>Preamble</w:t>
      </w:r>
    </w:p>
    <w:p w14:paraId="041659E5" w14:textId="77777777" w:rsidR="00A64250" w:rsidRDefault="00214E07">
      <w:pPr>
        <w:pStyle w:val="normal0"/>
        <w:spacing w:before="120" w:line="240" w:lineRule="auto"/>
        <w:rPr>
          <w:sz w:val="18"/>
          <w:szCs w:val="20"/>
        </w:rPr>
      </w:pPr>
      <w:r w:rsidRPr="00A64250">
        <w:rPr>
          <w:sz w:val="18"/>
          <w:szCs w:val="20"/>
        </w:rPr>
        <w:t>See</w:t>
      </w:r>
      <w:r w:rsidR="0042534A" w:rsidRPr="00A64250">
        <w:rPr>
          <w:sz w:val="18"/>
          <w:szCs w:val="20"/>
        </w:rPr>
        <w:t xml:space="preserve"> email attachment</w:t>
      </w:r>
      <w:r w:rsidRPr="00A64250">
        <w:rPr>
          <w:sz w:val="18"/>
          <w:szCs w:val="20"/>
        </w:rPr>
        <w:t xml:space="preserve"> “Reasons for the CPMS interest in workflows.”  </w:t>
      </w:r>
    </w:p>
    <w:p w14:paraId="666124F0" w14:textId="63BA2BA2" w:rsidR="00A13916" w:rsidRPr="00A64250" w:rsidRDefault="00A13916" w:rsidP="00A13916">
      <w:pPr>
        <w:pStyle w:val="normal0"/>
        <w:spacing w:before="120" w:line="240" w:lineRule="auto"/>
        <w:rPr>
          <w:sz w:val="20"/>
        </w:rPr>
      </w:pPr>
      <w:r w:rsidRPr="00A64250">
        <w:rPr>
          <w:sz w:val="18"/>
          <w:szCs w:val="20"/>
        </w:rPr>
        <w:t xml:space="preserve">Abridged workflows from multiple MSM Working Groups are </w:t>
      </w:r>
      <w:r>
        <w:rPr>
          <w:sz w:val="18"/>
          <w:szCs w:val="20"/>
        </w:rPr>
        <w:t>expected</w:t>
      </w:r>
      <w:r w:rsidRPr="00A64250">
        <w:rPr>
          <w:sz w:val="18"/>
          <w:szCs w:val="20"/>
        </w:rPr>
        <w:t xml:space="preserve"> to </w:t>
      </w:r>
      <w:r w:rsidR="00A3417D">
        <w:rPr>
          <w:sz w:val="18"/>
          <w:szCs w:val="20"/>
        </w:rPr>
        <w:t xml:space="preserve">help </w:t>
      </w:r>
      <w:r w:rsidR="004134EC">
        <w:rPr>
          <w:sz w:val="18"/>
          <w:szCs w:val="20"/>
        </w:rPr>
        <w:t xml:space="preserve">1) </w:t>
      </w:r>
      <w:r w:rsidR="00421E00">
        <w:rPr>
          <w:sz w:val="18"/>
          <w:szCs w:val="20"/>
        </w:rPr>
        <w:t>bring best practices into focus</w:t>
      </w:r>
      <w:r w:rsidR="004134EC">
        <w:rPr>
          <w:sz w:val="18"/>
          <w:szCs w:val="20"/>
        </w:rPr>
        <w:t xml:space="preserve">, 2) </w:t>
      </w:r>
      <w:r w:rsidR="00421E00">
        <w:rPr>
          <w:sz w:val="18"/>
          <w:szCs w:val="20"/>
        </w:rPr>
        <w:t xml:space="preserve">enhance credibility, 3) </w:t>
      </w:r>
      <w:r w:rsidR="00421E00" w:rsidRPr="00421E00">
        <w:rPr>
          <w:sz w:val="18"/>
          <w:szCs w:val="20"/>
        </w:rPr>
        <w:t>aid in bringing terminologies into alignment</w:t>
      </w:r>
      <w:r w:rsidR="00421E00">
        <w:rPr>
          <w:sz w:val="18"/>
          <w:szCs w:val="20"/>
        </w:rPr>
        <w:t xml:space="preserve">, 4) broaden MSM’s impact, 5) </w:t>
      </w:r>
      <w:r w:rsidRPr="00A64250">
        <w:rPr>
          <w:sz w:val="18"/>
          <w:szCs w:val="20"/>
        </w:rPr>
        <w:t xml:space="preserve">show how and why quite different M&amp;S techniques emerge as most appropriate </w:t>
      </w:r>
      <w:r>
        <w:rPr>
          <w:sz w:val="18"/>
          <w:szCs w:val="20"/>
        </w:rPr>
        <w:t>given</w:t>
      </w:r>
      <w:r w:rsidRPr="00A64250">
        <w:rPr>
          <w:sz w:val="18"/>
          <w:szCs w:val="20"/>
        </w:rPr>
        <w:t xml:space="preserve"> specific scientific objectives</w:t>
      </w:r>
      <w:r w:rsidR="00421E00">
        <w:rPr>
          <w:sz w:val="18"/>
          <w:szCs w:val="20"/>
        </w:rPr>
        <w:t>, and 6) facilitate realizing healthcare applications sooner rather than later</w:t>
      </w:r>
      <w:r w:rsidRPr="00A64250">
        <w:rPr>
          <w:sz w:val="18"/>
          <w:szCs w:val="20"/>
        </w:rPr>
        <w:t xml:space="preserve">.   </w:t>
      </w:r>
    </w:p>
    <w:p w14:paraId="10341565" w14:textId="36FBBE95" w:rsidR="004E628A" w:rsidRDefault="004764F3">
      <w:pPr>
        <w:pStyle w:val="normal0"/>
        <w:spacing w:before="120" w:line="240" w:lineRule="auto"/>
        <w:rPr>
          <w:sz w:val="18"/>
          <w:szCs w:val="20"/>
        </w:rPr>
      </w:pPr>
      <w:r>
        <w:rPr>
          <w:sz w:val="18"/>
          <w:szCs w:val="20"/>
        </w:rPr>
        <w:t xml:space="preserve">Many of the </w:t>
      </w:r>
      <w:r w:rsidR="00421E00">
        <w:rPr>
          <w:sz w:val="18"/>
          <w:szCs w:val="20"/>
        </w:rPr>
        <w:t xml:space="preserve">activities </w:t>
      </w:r>
      <w:r w:rsidR="00787299" w:rsidRPr="00A64250">
        <w:rPr>
          <w:sz w:val="18"/>
          <w:szCs w:val="20"/>
        </w:rPr>
        <w:t xml:space="preserve">in black </w:t>
      </w:r>
      <w:r w:rsidR="00421E00">
        <w:rPr>
          <w:sz w:val="18"/>
          <w:szCs w:val="20"/>
        </w:rPr>
        <w:t xml:space="preserve">are expected </w:t>
      </w:r>
      <w:r w:rsidR="00787299" w:rsidRPr="00A64250">
        <w:rPr>
          <w:sz w:val="18"/>
          <w:szCs w:val="20"/>
        </w:rPr>
        <w:t xml:space="preserve">to be </w:t>
      </w:r>
      <w:r w:rsidR="00421E00">
        <w:rPr>
          <w:sz w:val="18"/>
          <w:szCs w:val="20"/>
        </w:rPr>
        <w:t xml:space="preserve">part of </w:t>
      </w:r>
      <w:r>
        <w:rPr>
          <w:sz w:val="18"/>
          <w:szCs w:val="20"/>
        </w:rPr>
        <w:t>most</w:t>
      </w:r>
      <w:r w:rsidR="00421E00">
        <w:rPr>
          <w:sz w:val="18"/>
          <w:szCs w:val="20"/>
        </w:rPr>
        <w:t xml:space="preserve"> MSM workflow</w:t>
      </w:r>
      <w:r>
        <w:rPr>
          <w:sz w:val="18"/>
          <w:szCs w:val="20"/>
        </w:rPr>
        <w:t>s</w:t>
      </w:r>
      <w:r w:rsidR="00421E00">
        <w:rPr>
          <w:sz w:val="18"/>
          <w:szCs w:val="20"/>
        </w:rPr>
        <w:t>,</w:t>
      </w:r>
      <w:r w:rsidR="00787299" w:rsidRPr="00A64250">
        <w:rPr>
          <w:sz w:val="18"/>
          <w:szCs w:val="20"/>
        </w:rPr>
        <w:t xml:space="preserve"> independent of the </w:t>
      </w:r>
      <w:r>
        <w:rPr>
          <w:sz w:val="18"/>
          <w:szCs w:val="20"/>
        </w:rPr>
        <w:t xml:space="preserve">model artifact produced and </w:t>
      </w:r>
      <w:r w:rsidR="00787299" w:rsidRPr="00A64250">
        <w:rPr>
          <w:sz w:val="18"/>
          <w:szCs w:val="20"/>
        </w:rPr>
        <w:t>technique</w:t>
      </w:r>
      <w:r>
        <w:rPr>
          <w:sz w:val="18"/>
          <w:szCs w:val="20"/>
        </w:rPr>
        <w:t>s</w:t>
      </w:r>
      <w:r w:rsidR="00787299" w:rsidRPr="00A64250">
        <w:rPr>
          <w:sz w:val="18"/>
          <w:szCs w:val="20"/>
        </w:rPr>
        <w:t xml:space="preserve"> </w:t>
      </w:r>
      <w:r>
        <w:rPr>
          <w:sz w:val="18"/>
          <w:szCs w:val="20"/>
        </w:rPr>
        <w:t>used</w:t>
      </w:r>
      <w:r w:rsidR="00787299" w:rsidRPr="00A64250">
        <w:rPr>
          <w:sz w:val="18"/>
          <w:szCs w:val="20"/>
        </w:rPr>
        <w:t xml:space="preserve">.  </w:t>
      </w:r>
      <w:r w:rsidR="00421E00">
        <w:rPr>
          <w:sz w:val="18"/>
          <w:szCs w:val="20"/>
        </w:rPr>
        <w:t>However</w:t>
      </w:r>
      <w:r w:rsidR="00A3417D">
        <w:rPr>
          <w:sz w:val="18"/>
          <w:szCs w:val="20"/>
        </w:rPr>
        <w:t>,</w:t>
      </w:r>
      <w:r w:rsidR="00421E00">
        <w:rPr>
          <w:sz w:val="18"/>
          <w:szCs w:val="20"/>
        </w:rPr>
        <w:t xml:space="preserve"> </w:t>
      </w:r>
      <w:r w:rsidR="00A3417D">
        <w:rPr>
          <w:sz w:val="18"/>
          <w:szCs w:val="20"/>
        </w:rPr>
        <w:t xml:space="preserve">specialized workflows will </w:t>
      </w:r>
      <w:r>
        <w:rPr>
          <w:sz w:val="18"/>
          <w:szCs w:val="20"/>
        </w:rPr>
        <w:t xml:space="preserve">likely </w:t>
      </w:r>
      <w:r w:rsidR="00A3417D">
        <w:rPr>
          <w:sz w:val="18"/>
          <w:szCs w:val="20"/>
        </w:rPr>
        <w:t xml:space="preserve">differ and CPMS wants to understand when and how.  </w:t>
      </w:r>
    </w:p>
    <w:p w14:paraId="72CB38B0" w14:textId="2F857275" w:rsidR="004764F3" w:rsidRPr="00A64250" w:rsidRDefault="004764F3">
      <w:pPr>
        <w:pStyle w:val="normal0"/>
        <w:spacing w:before="120" w:line="240" w:lineRule="auto"/>
        <w:rPr>
          <w:sz w:val="20"/>
        </w:rPr>
      </w:pPr>
      <w:r>
        <w:rPr>
          <w:sz w:val="18"/>
          <w:szCs w:val="20"/>
        </w:rPr>
        <w:t xml:space="preserve">We understand that actual workflows are not linear sequences of activities, but these abridged workflows are linearized to lower limit the work required.   </w:t>
      </w:r>
    </w:p>
    <w:p w14:paraId="3771C124" w14:textId="44076EEF" w:rsidR="000E7448" w:rsidRPr="000E7448" w:rsidRDefault="00A3417D">
      <w:pPr>
        <w:pStyle w:val="normal0"/>
        <w:spacing w:before="120" w:line="240" w:lineRule="auto"/>
        <w:rPr>
          <w:color w:val="auto"/>
          <w:sz w:val="18"/>
          <w:szCs w:val="20"/>
        </w:rPr>
      </w:pPr>
      <w:r w:rsidRPr="000E7448">
        <w:rPr>
          <w:color w:val="auto"/>
          <w:sz w:val="18"/>
          <w:szCs w:val="20"/>
        </w:rPr>
        <w:t>Th</w:t>
      </w:r>
      <w:r w:rsidR="000E7448">
        <w:rPr>
          <w:color w:val="auto"/>
          <w:sz w:val="18"/>
          <w:szCs w:val="20"/>
        </w:rPr>
        <w:t>e example below</w:t>
      </w:r>
      <w:r w:rsidRPr="000E7448">
        <w:rPr>
          <w:color w:val="auto"/>
          <w:sz w:val="18"/>
          <w:szCs w:val="20"/>
        </w:rPr>
        <w:t xml:space="preserve"> is an abridged workflow for use in facilitating discussion.  An </w:t>
      </w:r>
      <w:r w:rsidR="000E7448">
        <w:rPr>
          <w:color w:val="auto"/>
          <w:sz w:val="18"/>
          <w:szCs w:val="20"/>
        </w:rPr>
        <w:t xml:space="preserve">actual </w:t>
      </w:r>
      <w:r w:rsidRPr="000E7448">
        <w:rPr>
          <w:color w:val="auto"/>
          <w:sz w:val="18"/>
          <w:szCs w:val="20"/>
        </w:rPr>
        <w:t xml:space="preserve">active workflow will be </w:t>
      </w:r>
      <w:r w:rsidR="000E7448">
        <w:rPr>
          <w:color w:val="auto"/>
          <w:sz w:val="18"/>
          <w:szCs w:val="20"/>
        </w:rPr>
        <w:t xml:space="preserve">much </w:t>
      </w:r>
      <w:r w:rsidRPr="000E7448">
        <w:rPr>
          <w:color w:val="auto"/>
          <w:sz w:val="18"/>
          <w:szCs w:val="20"/>
        </w:rPr>
        <w:t xml:space="preserve">larger and </w:t>
      </w:r>
      <w:r w:rsidR="000E7448">
        <w:rPr>
          <w:color w:val="auto"/>
          <w:sz w:val="18"/>
          <w:szCs w:val="20"/>
        </w:rPr>
        <w:t>more detailed, and may require supporting illustrations</w:t>
      </w:r>
      <w:r w:rsidRPr="000E7448">
        <w:rPr>
          <w:color w:val="auto"/>
          <w:sz w:val="18"/>
          <w:szCs w:val="20"/>
        </w:rPr>
        <w:t xml:space="preserve">.  </w:t>
      </w:r>
    </w:p>
    <w:p w14:paraId="354C7BD4" w14:textId="0E7B6E8F" w:rsidR="000E7448" w:rsidRDefault="00787299">
      <w:pPr>
        <w:pStyle w:val="normal0"/>
        <w:spacing w:before="120" w:line="240" w:lineRule="auto"/>
        <w:rPr>
          <w:color w:val="0000FF"/>
          <w:sz w:val="18"/>
          <w:szCs w:val="20"/>
        </w:rPr>
      </w:pPr>
      <w:r w:rsidRPr="00A64250">
        <w:rPr>
          <w:color w:val="0000FF"/>
          <w:sz w:val="18"/>
          <w:szCs w:val="20"/>
        </w:rPr>
        <w:t xml:space="preserve">The text in blue illustrates a particular </w:t>
      </w:r>
      <w:r w:rsidR="00A3417D" w:rsidRPr="00A64250">
        <w:rPr>
          <w:color w:val="0000FF"/>
          <w:sz w:val="18"/>
          <w:szCs w:val="20"/>
        </w:rPr>
        <w:t xml:space="preserve">project specific </w:t>
      </w:r>
      <w:r w:rsidRPr="00A64250">
        <w:rPr>
          <w:color w:val="0000FF"/>
          <w:sz w:val="18"/>
          <w:szCs w:val="20"/>
        </w:rPr>
        <w:t xml:space="preserve">workflow. </w:t>
      </w:r>
      <w:r w:rsidR="0042534A" w:rsidRPr="00A64250">
        <w:rPr>
          <w:color w:val="0000FF"/>
          <w:sz w:val="18"/>
          <w:szCs w:val="20"/>
        </w:rPr>
        <w:t xml:space="preserve"> </w:t>
      </w:r>
      <w:r w:rsidR="000E7448" w:rsidRPr="000E7448">
        <w:rPr>
          <w:color w:val="auto"/>
          <w:sz w:val="18"/>
          <w:szCs w:val="20"/>
        </w:rPr>
        <w:t>Consistent with</w:t>
      </w:r>
      <w:r w:rsidR="00A3417D" w:rsidRPr="000E7448">
        <w:rPr>
          <w:color w:val="auto"/>
          <w:sz w:val="18"/>
          <w:szCs w:val="20"/>
        </w:rPr>
        <w:t xml:space="preserve"> </w:t>
      </w:r>
      <w:r w:rsidR="004764F3">
        <w:rPr>
          <w:color w:val="auto"/>
          <w:sz w:val="18"/>
          <w:szCs w:val="20"/>
        </w:rPr>
        <w:t xml:space="preserve">the </w:t>
      </w:r>
      <w:r w:rsidR="00A3417D" w:rsidRPr="000E7448">
        <w:rPr>
          <w:color w:val="auto"/>
          <w:sz w:val="18"/>
          <w:szCs w:val="20"/>
        </w:rPr>
        <w:t xml:space="preserve">abridged workflow </w:t>
      </w:r>
      <w:r w:rsidR="000E7448" w:rsidRPr="000E7448">
        <w:rPr>
          <w:color w:val="auto"/>
          <w:sz w:val="18"/>
          <w:szCs w:val="20"/>
        </w:rPr>
        <w:t>theme</w:t>
      </w:r>
      <w:r w:rsidR="00A3417D" w:rsidRPr="000E7448">
        <w:rPr>
          <w:color w:val="auto"/>
          <w:sz w:val="18"/>
          <w:szCs w:val="20"/>
        </w:rPr>
        <w:t xml:space="preserve">, </w:t>
      </w:r>
      <w:r w:rsidR="004764F3">
        <w:rPr>
          <w:color w:val="auto"/>
          <w:sz w:val="18"/>
          <w:szCs w:val="20"/>
        </w:rPr>
        <w:t>we</w:t>
      </w:r>
      <w:r w:rsidR="000E7448" w:rsidRPr="000E7448">
        <w:rPr>
          <w:color w:val="auto"/>
          <w:sz w:val="18"/>
          <w:szCs w:val="20"/>
        </w:rPr>
        <w:t xml:space="preserve"> </w:t>
      </w:r>
      <w:r w:rsidR="00A3417D" w:rsidRPr="000E7448">
        <w:rPr>
          <w:color w:val="auto"/>
          <w:sz w:val="18"/>
          <w:szCs w:val="20"/>
        </w:rPr>
        <w:t>limit</w:t>
      </w:r>
      <w:r w:rsidR="000E7448" w:rsidRPr="000E7448">
        <w:rPr>
          <w:color w:val="auto"/>
          <w:sz w:val="18"/>
          <w:szCs w:val="20"/>
        </w:rPr>
        <w:t xml:space="preserve">ed </w:t>
      </w:r>
      <w:r w:rsidR="00A3417D" w:rsidRPr="000E7448">
        <w:rPr>
          <w:color w:val="auto"/>
          <w:sz w:val="18"/>
          <w:szCs w:val="20"/>
        </w:rPr>
        <w:t>i</w:t>
      </w:r>
      <w:r w:rsidRPr="000E7448">
        <w:rPr>
          <w:color w:val="auto"/>
          <w:sz w:val="18"/>
          <w:szCs w:val="20"/>
        </w:rPr>
        <w:t xml:space="preserve">nformation at each step </w:t>
      </w:r>
      <w:r w:rsidR="00A64250" w:rsidRPr="000E7448">
        <w:rPr>
          <w:color w:val="auto"/>
          <w:sz w:val="18"/>
          <w:szCs w:val="20"/>
        </w:rPr>
        <w:t xml:space="preserve">to </w:t>
      </w:r>
      <w:r w:rsidR="00A32685" w:rsidRPr="000E7448">
        <w:rPr>
          <w:color w:val="auto"/>
          <w:sz w:val="18"/>
          <w:szCs w:val="20"/>
        </w:rPr>
        <w:t>five</w:t>
      </w:r>
      <w:r w:rsidR="00A64250" w:rsidRPr="000E7448">
        <w:rPr>
          <w:color w:val="auto"/>
          <w:sz w:val="18"/>
          <w:szCs w:val="20"/>
        </w:rPr>
        <w:t xml:space="preserve"> or fewer items.</w:t>
      </w:r>
      <w:r w:rsidR="00A64250">
        <w:rPr>
          <w:color w:val="0000FF"/>
          <w:sz w:val="18"/>
          <w:szCs w:val="20"/>
        </w:rPr>
        <w:t xml:space="preserve">  </w:t>
      </w:r>
    </w:p>
    <w:p w14:paraId="392577C4" w14:textId="474AF6AF" w:rsidR="004E628A" w:rsidRPr="00671673" w:rsidRDefault="00787299">
      <w:pPr>
        <w:pStyle w:val="normal0"/>
        <w:spacing w:before="120" w:line="240" w:lineRule="auto"/>
        <w:rPr>
          <w:color w:val="auto"/>
          <w:sz w:val="20"/>
        </w:rPr>
      </w:pPr>
      <w:r w:rsidRPr="00671673">
        <w:rPr>
          <w:color w:val="auto"/>
          <w:sz w:val="18"/>
          <w:szCs w:val="20"/>
        </w:rPr>
        <w:t>The cumulative information</w:t>
      </w:r>
      <w:r w:rsidR="000E7448" w:rsidRPr="00671673">
        <w:rPr>
          <w:color w:val="auto"/>
          <w:sz w:val="18"/>
          <w:szCs w:val="20"/>
        </w:rPr>
        <w:t xml:space="preserve"> provided</w:t>
      </w:r>
      <w:r w:rsidRPr="00671673">
        <w:rPr>
          <w:color w:val="auto"/>
          <w:sz w:val="18"/>
          <w:szCs w:val="20"/>
        </w:rPr>
        <w:t xml:space="preserve"> as one </w:t>
      </w:r>
      <w:r w:rsidR="000E7448" w:rsidRPr="00671673">
        <w:rPr>
          <w:color w:val="auto"/>
          <w:sz w:val="18"/>
          <w:szCs w:val="20"/>
        </w:rPr>
        <w:t>progresses through</w:t>
      </w:r>
      <w:r w:rsidRPr="00671673">
        <w:rPr>
          <w:color w:val="auto"/>
          <w:sz w:val="18"/>
          <w:szCs w:val="20"/>
        </w:rPr>
        <w:t xml:space="preserve"> an actual workflow shrinks the remaining set of appropriate modeling techniques</w:t>
      </w:r>
      <w:r w:rsidR="000E7448" w:rsidRPr="00671673">
        <w:rPr>
          <w:color w:val="auto"/>
          <w:sz w:val="18"/>
          <w:szCs w:val="20"/>
        </w:rPr>
        <w:t>.  Upon reaching step (6.1), only one or a few</w:t>
      </w:r>
      <w:r w:rsidRPr="00671673">
        <w:rPr>
          <w:color w:val="auto"/>
          <w:sz w:val="18"/>
          <w:szCs w:val="20"/>
        </w:rPr>
        <w:t xml:space="preserve"> </w:t>
      </w:r>
      <w:r w:rsidR="000E7448" w:rsidRPr="00671673">
        <w:rPr>
          <w:color w:val="auto"/>
          <w:sz w:val="18"/>
          <w:szCs w:val="20"/>
        </w:rPr>
        <w:t>may remain</w:t>
      </w:r>
      <w:r w:rsidRPr="00671673">
        <w:rPr>
          <w:color w:val="auto"/>
          <w:sz w:val="18"/>
          <w:szCs w:val="20"/>
        </w:rPr>
        <w:t xml:space="preserve">. </w:t>
      </w:r>
      <w:r w:rsidR="000E7448" w:rsidRPr="00671673">
        <w:rPr>
          <w:color w:val="auto"/>
          <w:sz w:val="18"/>
          <w:szCs w:val="20"/>
        </w:rPr>
        <w:t xml:space="preserve"> For the </w:t>
      </w:r>
      <w:r w:rsidR="004764F3" w:rsidRPr="000E7448">
        <w:rPr>
          <w:color w:val="auto"/>
          <w:sz w:val="18"/>
          <w:szCs w:val="20"/>
        </w:rPr>
        <w:t xml:space="preserve">abridged </w:t>
      </w:r>
      <w:r w:rsidR="000E7448" w:rsidRPr="00671673">
        <w:rPr>
          <w:color w:val="auto"/>
          <w:sz w:val="18"/>
          <w:szCs w:val="20"/>
        </w:rPr>
        <w:t xml:space="preserve">workflow below, </w:t>
      </w:r>
      <w:r w:rsidR="00671673" w:rsidRPr="00671673">
        <w:rPr>
          <w:color w:val="auto"/>
          <w:sz w:val="18"/>
          <w:szCs w:val="20"/>
        </w:rPr>
        <w:t xml:space="preserve">one set of </w:t>
      </w:r>
      <w:r w:rsidR="004764F3">
        <w:rPr>
          <w:color w:val="auto"/>
          <w:sz w:val="18"/>
          <w:szCs w:val="20"/>
        </w:rPr>
        <w:t xml:space="preserve">modeling </w:t>
      </w:r>
      <w:r w:rsidR="00671673" w:rsidRPr="00671673">
        <w:rPr>
          <w:color w:val="auto"/>
          <w:sz w:val="18"/>
          <w:szCs w:val="20"/>
        </w:rPr>
        <w:t xml:space="preserve">techniques is </w:t>
      </w:r>
      <w:r w:rsidR="000E7448" w:rsidRPr="00671673">
        <w:rPr>
          <w:color w:val="auto"/>
          <w:sz w:val="18"/>
          <w:szCs w:val="20"/>
        </w:rPr>
        <w:t>necessary and sufficient</w:t>
      </w:r>
      <w:r w:rsidR="00671673" w:rsidRPr="00671673">
        <w:rPr>
          <w:color w:val="auto"/>
          <w:sz w:val="18"/>
          <w:szCs w:val="20"/>
        </w:rPr>
        <w:t xml:space="preserve">.  </w:t>
      </w:r>
    </w:p>
    <w:p w14:paraId="6D707D42" w14:textId="77777777" w:rsidR="004E628A" w:rsidRPr="00A64250" w:rsidRDefault="00787299">
      <w:pPr>
        <w:pStyle w:val="normal0"/>
        <w:spacing w:before="120" w:line="240" w:lineRule="auto"/>
        <w:rPr>
          <w:sz w:val="20"/>
        </w:rPr>
      </w:pPr>
      <w:r w:rsidRPr="00A64250">
        <w:rPr>
          <w:sz w:val="18"/>
          <w:szCs w:val="20"/>
        </w:rPr>
        <w:t xml:space="preserve">The workflow beyond step (6.1) may have project and technique specific features.  </w:t>
      </w:r>
    </w:p>
    <w:p w14:paraId="0F822BC4" w14:textId="6E577AB6" w:rsidR="004E628A" w:rsidRPr="00A64250" w:rsidRDefault="00787299" w:rsidP="0042534A">
      <w:pPr>
        <w:pStyle w:val="normal0"/>
        <w:spacing w:before="120" w:after="120" w:line="240" w:lineRule="auto"/>
        <w:rPr>
          <w:sz w:val="20"/>
        </w:rPr>
      </w:pPr>
      <w:r w:rsidRPr="00A64250">
        <w:rPr>
          <w:sz w:val="18"/>
          <w:szCs w:val="20"/>
        </w:rPr>
        <w:t xml:space="preserve">To simplify and facilitate discussions across </w:t>
      </w:r>
      <w:r w:rsidR="00A3417D">
        <w:rPr>
          <w:sz w:val="18"/>
          <w:szCs w:val="20"/>
        </w:rPr>
        <w:t xml:space="preserve">Consortium </w:t>
      </w:r>
      <w:r w:rsidRPr="00A64250">
        <w:rPr>
          <w:sz w:val="18"/>
          <w:szCs w:val="20"/>
        </w:rPr>
        <w:t>Working Groups, critical path steps</w:t>
      </w:r>
      <w:r w:rsidR="00421E00">
        <w:rPr>
          <w:sz w:val="18"/>
          <w:szCs w:val="20"/>
        </w:rPr>
        <w:t xml:space="preserve">, which may be project specific, </w:t>
      </w:r>
      <w:r w:rsidRPr="00A64250">
        <w:rPr>
          <w:sz w:val="18"/>
          <w:szCs w:val="20"/>
        </w:rPr>
        <w:t>are not identified.</w:t>
      </w:r>
      <w:r w:rsidR="00671673">
        <w:rPr>
          <w:sz w:val="18"/>
          <w:szCs w:val="20"/>
        </w:rPr>
        <w:t xml:space="preserve">  </w:t>
      </w:r>
    </w:p>
    <w:bookmarkEnd w:id="0"/>
    <w:p w14:paraId="0FD5A924" w14:textId="77777777" w:rsidR="004E628A" w:rsidRPr="00A64250" w:rsidRDefault="00787299" w:rsidP="00671673">
      <w:pPr>
        <w:pStyle w:val="normal0"/>
        <w:numPr>
          <w:ilvl w:val="0"/>
          <w:numId w:val="1"/>
        </w:numPr>
        <w:spacing w:before="240" w:line="240" w:lineRule="auto"/>
        <w:ind w:hanging="360"/>
        <w:rPr>
          <w:b/>
          <w:sz w:val="20"/>
        </w:rPr>
      </w:pPr>
      <w:r w:rsidRPr="00A64250">
        <w:rPr>
          <w:b/>
          <w:sz w:val="20"/>
        </w:rPr>
        <w:t>Domain and Context</w:t>
      </w:r>
    </w:p>
    <w:p w14:paraId="12C680A1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contextualSpacing/>
        <w:rPr>
          <w:sz w:val="20"/>
        </w:rPr>
      </w:pPr>
      <w:r w:rsidRPr="00A64250">
        <w:rPr>
          <w:sz w:val="20"/>
        </w:rPr>
        <w:t xml:space="preserve">Specify the biomedical R&amp;D context </w:t>
      </w:r>
    </w:p>
    <w:p w14:paraId="64415CF4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Drug induced liver injury (DILI)</w:t>
      </w:r>
    </w:p>
    <w:p w14:paraId="3A97ECE2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Model drug is acetaminophen (APAP)</w:t>
      </w:r>
    </w:p>
    <w:p w14:paraId="716777AF" w14:textId="77777777" w:rsidR="004E628A" w:rsidRPr="00A64250" w:rsidRDefault="00787299">
      <w:pPr>
        <w:pStyle w:val="normal0"/>
        <w:numPr>
          <w:ilvl w:val="1"/>
          <w:numId w:val="1"/>
        </w:numPr>
        <w:spacing w:before="200" w:line="240" w:lineRule="auto"/>
        <w:ind w:hanging="360"/>
        <w:rPr>
          <w:sz w:val="20"/>
        </w:rPr>
      </w:pPr>
      <w:r w:rsidRPr="00A64250">
        <w:rPr>
          <w:sz w:val="20"/>
        </w:rPr>
        <w:t xml:space="preserve">Describe broad biomedical issues/questions/needs </w:t>
      </w:r>
    </w:p>
    <w:p w14:paraId="29676FC2" w14:textId="77777777" w:rsidR="004E628A" w:rsidRPr="00A64250" w:rsidRDefault="00787299">
      <w:pPr>
        <w:pStyle w:val="normal0"/>
        <w:numPr>
          <w:ilvl w:val="2"/>
          <w:numId w:val="1"/>
        </w:numPr>
        <w:spacing w:line="240" w:lineRule="auto"/>
        <w:ind w:hanging="360"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Treat/avoid DILI </w:t>
      </w:r>
    </w:p>
    <w:p w14:paraId="003730A2" w14:textId="77777777" w:rsidR="004E628A" w:rsidRPr="00A64250" w:rsidRDefault="00787299">
      <w:pPr>
        <w:pStyle w:val="normal0"/>
        <w:numPr>
          <w:ilvl w:val="2"/>
          <w:numId w:val="1"/>
        </w:numPr>
        <w:spacing w:line="240" w:lineRule="auto"/>
        <w:ind w:hanging="360"/>
        <w:rPr>
          <w:color w:val="0000FF"/>
          <w:sz w:val="20"/>
        </w:rPr>
      </w:pPr>
      <w:r w:rsidRPr="00A64250">
        <w:rPr>
          <w:color w:val="0000FF"/>
          <w:sz w:val="20"/>
        </w:rPr>
        <w:t>Challenge/improve injury-specific causal cascade hypotheses</w:t>
      </w:r>
    </w:p>
    <w:p w14:paraId="60517172" w14:textId="77777777" w:rsidR="004E628A" w:rsidRPr="00A64250" w:rsidRDefault="00787299">
      <w:pPr>
        <w:pStyle w:val="normal0"/>
        <w:numPr>
          <w:ilvl w:val="2"/>
          <w:numId w:val="1"/>
        </w:numPr>
        <w:spacing w:line="240" w:lineRule="auto"/>
        <w:ind w:hanging="360"/>
        <w:rPr>
          <w:color w:val="0000FF"/>
          <w:sz w:val="20"/>
        </w:rPr>
      </w:pPr>
      <w:r w:rsidRPr="00A64250">
        <w:rPr>
          <w:color w:val="0000FF"/>
          <w:sz w:val="20"/>
        </w:rPr>
        <w:t>Explain individual variability</w:t>
      </w:r>
    </w:p>
    <w:p w14:paraId="2F79FDE8" w14:textId="77777777" w:rsidR="004E628A" w:rsidRPr="00A64250" w:rsidRDefault="00787299">
      <w:pPr>
        <w:pStyle w:val="normal0"/>
        <w:numPr>
          <w:ilvl w:val="1"/>
          <w:numId w:val="1"/>
        </w:numPr>
        <w:spacing w:before="200" w:line="240" w:lineRule="auto"/>
        <w:ind w:hanging="360"/>
        <w:rPr>
          <w:sz w:val="20"/>
        </w:rPr>
      </w:pPr>
      <w:r w:rsidRPr="00A64250">
        <w:rPr>
          <w:sz w:val="20"/>
        </w:rPr>
        <w:t xml:space="preserve">Identify referent experimental systems </w:t>
      </w:r>
    </w:p>
    <w:p w14:paraId="760E66D3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Systems used to generate published legacy data</w:t>
      </w:r>
    </w:p>
    <w:p w14:paraId="218B99AD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In vitro hepatocyte cultures</w:t>
      </w:r>
    </w:p>
    <w:p w14:paraId="0393406B" w14:textId="054D43CB" w:rsidR="004E628A" w:rsidRPr="00A64250" w:rsidRDefault="002753B7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>
        <w:rPr>
          <w:color w:val="0000FF"/>
          <w:sz w:val="20"/>
        </w:rPr>
        <w:t>M</w:t>
      </w:r>
      <w:r w:rsidR="00787299" w:rsidRPr="00A64250">
        <w:rPr>
          <w:color w:val="0000FF"/>
          <w:sz w:val="20"/>
        </w:rPr>
        <w:t>ice, rats, and humans with and without APAP treatments</w:t>
      </w:r>
    </w:p>
    <w:p w14:paraId="431AEFAF" w14:textId="77777777" w:rsidR="004E628A" w:rsidRPr="00A64250" w:rsidRDefault="00787299">
      <w:pPr>
        <w:pStyle w:val="normal0"/>
        <w:numPr>
          <w:ilvl w:val="1"/>
          <w:numId w:val="1"/>
        </w:numPr>
        <w:spacing w:before="200" w:line="240" w:lineRule="auto"/>
        <w:ind w:hanging="360"/>
        <w:rPr>
          <w:sz w:val="20"/>
        </w:rPr>
      </w:pPr>
      <w:r w:rsidRPr="00A64250">
        <w:rPr>
          <w:sz w:val="20"/>
        </w:rPr>
        <w:t xml:space="preserve">From a broad perspective: how will M&amp;S contribute to (1.2)?   </w:t>
      </w:r>
    </w:p>
    <w:p w14:paraId="7B69E9DB" w14:textId="6E0F2FBF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Enable </w:t>
      </w:r>
      <w:r w:rsidR="002753B7">
        <w:rPr>
          <w:color w:val="0000FF"/>
          <w:sz w:val="20"/>
        </w:rPr>
        <w:t xml:space="preserve">causal </w:t>
      </w:r>
      <w:r w:rsidRPr="00A64250">
        <w:rPr>
          <w:color w:val="0000FF"/>
          <w:sz w:val="20"/>
        </w:rPr>
        <w:t xml:space="preserve">explanations (and later predictions) of </w:t>
      </w:r>
      <w:r w:rsidR="002753B7">
        <w:rPr>
          <w:color w:val="0000FF"/>
          <w:sz w:val="20"/>
        </w:rPr>
        <w:t xml:space="preserve">how and why </w:t>
      </w:r>
      <w:r w:rsidRPr="00A64250">
        <w:rPr>
          <w:color w:val="0000FF"/>
          <w:sz w:val="20"/>
        </w:rPr>
        <w:t xml:space="preserve">spatially heterogeneous patterns of </w:t>
      </w:r>
      <w:r w:rsidR="002753B7">
        <w:rPr>
          <w:color w:val="0000FF"/>
          <w:sz w:val="20"/>
        </w:rPr>
        <w:t>liver damage occur</w:t>
      </w:r>
      <w:r w:rsidRPr="00A64250">
        <w:rPr>
          <w:color w:val="0000FF"/>
          <w:sz w:val="20"/>
        </w:rPr>
        <w:t xml:space="preserve"> following toxic APAP dosing</w:t>
      </w:r>
    </w:p>
    <w:p w14:paraId="293D7C3B" w14:textId="443A5493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Provide plausible </w:t>
      </w:r>
      <w:r w:rsidR="002753B7">
        <w:rPr>
          <w:color w:val="0000FF"/>
          <w:sz w:val="20"/>
        </w:rPr>
        <w:t xml:space="preserve">mechanistic </w:t>
      </w:r>
      <w:r w:rsidRPr="00A64250">
        <w:rPr>
          <w:color w:val="0000FF"/>
          <w:sz w:val="20"/>
        </w:rPr>
        <w:t>explanations for dramatic differences in APAP</w:t>
      </w:r>
      <w:r w:rsidR="002753B7">
        <w:rPr>
          <w:color w:val="0000FF"/>
          <w:sz w:val="20"/>
        </w:rPr>
        <w:t>-induced liver injury</w:t>
      </w:r>
      <w:r w:rsidRPr="00A64250">
        <w:rPr>
          <w:color w:val="0000FF"/>
          <w:sz w:val="20"/>
        </w:rPr>
        <w:t xml:space="preserve"> among mouse strains</w:t>
      </w:r>
      <w:r w:rsidR="002753B7">
        <w:rPr>
          <w:color w:val="0000FF"/>
          <w:sz w:val="20"/>
        </w:rPr>
        <w:t xml:space="preserve"> (and people)</w:t>
      </w:r>
    </w:p>
    <w:p w14:paraId="36D3BF12" w14:textId="6723AF05" w:rsidR="004E628A" w:rsidRPr="00A64250" w:rsidRDefault="002753B7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>
        <w:rPr>
          <w:color w:val="0000FF"/>
          <w:sz w:val="20"/>
        </w:rPr>
        <w:t>Discover</w:t>
      </w:r>
      <w:r w:rsidR="00787299" w:rsidRPr="00A64250">
        <w:rPr>
          <w:color w:val="0000FF"/>
          <w:sz w:val="20"/>
        </w:rPr>
        <w:t xml:space="preserve"> improved predictive</w:t>
      </w:r>
      <w:r>
        <w:rPr>
          <w:color w:val="0000FF"/>
          <w:sz w:val="20"/>
        </w:rPr>
        <w:t xml:space="preserve"> early</w:t>
      </w:r>
      <w:r w:rsidR="00787299" w:rsidRPr="00A64250">
        <w:rPr>
          <w:color w:val="0000FF"/>
          <w:sz w:val="20"/>
        </w:rPr>
        <w:t xml:space="preserve"> biomarkers of </w:t>
      </w:r>
      <w:r>
        <w:rPr>
          <w:color w:val="0000FF"/>
          <w:sz w:val="20"/>
        </w:rPr>
        <w:t>injury</w:t>
      </w:r>
    </w:p>
    <w:p w14:paraId="7455F4FF" w14:textId="77777777" w:rsidR="004E628A" w:rsidRPr="00A64250" w:rsidRDefault="00787299">
      <w:pPr>
        <w:pStyle w:val="normal0"/>
        <w:numPr>
          <w:ilvl w:val="0"/>
          <w:numId w:val="1"/>
        </w:numPr>
        <w:spacing w:before="200" w:line="240" w:lineRule="auto"/>
        <w:ind w:hanging="360"/>
        <w:rPr>
          <w:b/>
          <w:sz w:val="20"/>
        </w:rPr>
      </w:pPr>
      <w:r w:rsidRPr="00A64250">
        <w:rPr>
          <w:b/>
          <w:sz w:val="20"/>
        </w:rPr>
        <w:t>Objectives</w:t>
      </w:r>
    </w:p>
    <w:p w14:paraId="20A4C437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contextualSpacing/>
        <w:rPr>
          <w:sz w:val="20"/>
        </w:rPr>
      </w:pPr>
      <w:r w:rsidRPr="00A64250">
        <w:rPr>
          <w:sz w:val="20"/>
        </w:rPr>
        <w:t xml:space="preserve">From a M&amp;S perspective: state scientific objectives (immediate, near-term, longer-term) </w:t>
      </w:r>
    </w:p>
    <w:p w14:paraId="6C0822E8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Improve explanatory multiscale mechanistic insight</w:t>
      </w:r>
    </w:p>
    <w:p w14:paraId="0F300F93" w14:textId="69682F3D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lastRenderedPageBreak/>
        <w:t xml:space="preserve">Use </w:t>
      </w:r>
      <w:r w:rsidR="002753B7">
        <w:rPr>
          <w:color w:val="0000FF"/>
          <w:sz w:val="20"/>
        </w:rPr>
        <w:t xml:space="preserve">in silico experiments to </w:t>
      </w:r>
      <w:r w:rsidRPr="00A64250">
        <w:rPr>
          <w:color w:val="0000FF"/>
          <w:sz w:val="20"/>
        </w:rPr>
        <w:t>challenge</w:t>
      </w:r>
      <w:r w:rsidR="002753B7">
        <w:rPr>
          <w:color w:val="0000FF"/>
          <w:sz w:val="20"/>
        </w:rPr>
        <w:t xml:space="preserve"> and, preferably</w:t>
      </w:r>
      <w:r w:rsidR="00DA2837">
        <w:rPr>
          <w:color w:val="0000FF"/>
          <w:sz w:val="20"/>
        </w:rPr>
        <w:t xml:space="preserve">, </w:t>
      </w:r>
      <w:r w:rsidR="00DA2837" w:rsidRPr="00A64250">
        <w:rPr>
          <w:color w:val="0000FF"/>
          <w:sz w:val="20"/>
        </w:rPr>
        <w:t>falsif</w:t>
      </w:r>
      <w:r w:rsidR="00DA2837">
        <w:rPr>
          <w:color w:val="0000FF"/>
          <w:sz w:val="20"/>
        </w:rPr>
        <w:t>y plausible</w:t>
      </w:r>
      <w:r w:rsidRPr="00A64250">
        <w:rPr>
          <w:color w:val="0000FF"/>
          <w:sz w:val="20"/>
        </w:rPr>
        <w:t xml:space="preserve"> mechanis</w:t>
      </w:r>
      <w:r w:rsidR="00DA2837">
        <w:rPr>
          <w:color w:val="0000FF"/>
          <w:sz w:val="20"/>
        </w:rPr>
        <w:t xml:space="preserve">ms </w:t>
      </w:r>
    </w:p>
    <w:p w14:paraId="41D24674" w14:textId="742589F5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Model and simulations are easy </w:t>
      </w:r>
      <w:r w:rsidR="002753B7">
        <w:rPr>
          <w:color w:val="0000FF"/>
          <w:sz w:val="20"/>
        </w:rPr>
        <w:t xml:space="preserve">to </w:t>
      </w:r>
      <w:r w:rsidRPr="00A64250">
        <w:rPr>
          <w:color w:val="0000FF"/>
          <w:sz w:val="20"/>
        </w:rPr>
        <w:t xml:space="preserve">reproducible </w:t>
      </w:r>
    </w:p>
    <w:p w14:paraId="3AE5B7FE" w14:textId="77777777" w:rsidR="004E628A" w:rsidRPr="00A64250" w:rsidRDefault="00787299">
      <w:pPr>
        <w:pStyle w:val="normal0"/>
        <w:numPr>
          <w:ilvl w:val="1"/>
          <w:numId w:val="1"/>
        </w:numPr>
        <w:spacing w:before="200" w:line="240" w:lineRule="auto"/>
        <w:ind w:hanging="360"/>
        <w:rPr>
          <w:sz w:val="20"/>
        </w:rPr>
      </w:pPr>
      <w:r w:rsidRPr="00A64250">
        <w:rPr>
          <w:sz w:val="20"/>
        </w:rPr>
        <w:t xml:space="preserve">What criteria will be used to recognize that progress is being made in achieving 2.1?  E.g.: visualizations, validations, falsified hypotheses, iteration logging, etc. </w:t>
      </w:r>
    </w:p>
    <w:p w14:paraId="19D05BAD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Quantitative validation against prespecified measurements from studies in mice</w:t>
      </w:r>
    </w:p>
    <w:p w14:paraId="6959AB80" w14:textId="254BC679" w:rsidR="004E628A" w:rsidRPr="00A64250" w:rsidRDefault="00DA2837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>
        <w:rPr>
          <w:color w:val="0000FF"/>
          <w:sz w:val="20"/>
        </w:rPr>
        <w:t>M</w:t>
      </w:r>
      <w:r w:rsidRPr="00A64250">
        <w:rPr>
          <w:color w:val="0000FF"/>
          <w:sz w:val="20"/>
        </w:rPr>
        <w:t>echanis</w:t>
      </w:r>
      <w:r>
        <w:rPr>
          <w:color w:val="0000FF"/>
          <w:sz w:val="20"/>
        </w:rPr>
        <w:t>tic hypotheses successfully</w:t>
      </w:r>
      <w:r w:rsidRPr="00A64250">
        <w:rPr>
          <w:color w:val="0000FF"/>
          <w:sz w:val="20"/>
        </w:rPr>
        <w:t xml:space="preserve"> </w:t>
      </w:r>
      <w:r>
        <w:rPr>
          <w:color w:val="0000FF"/>
          <w:sz w:val="20"/>
        </w:rPr>
        <w:t>c</w:t>
      </w:r>
      <w:r w:rsidR="00787299" w:rsidRPr="00A64250">
        <w:rPr>
          <w:color w:val="0000FF"/>
          <w:sz w:val="20"/>
        </w:rPr>
        <w:t>hallenge</w:t>
      </w:r>
      <w:r>
        <w:rPr>
          <w:color w:val="0000FF"/>
          <w:sz w:val="20"/>
        </w:rPr>
        <w:t xml:space="preserve">d, </w:t>
      </w:r>
      <w:r w:rsidR="00787299" w:rsidRPr="00A64250">
        <w:rPr>
          <w:color w:val="0000FF"/>
          <w:sz w:val="20"/>
        </w:rPr>
        <w:t>falsif</w:t>
      </w:r>
      <w:r>
        <w:rPr>
          <w:color w:val="0000FF"/>
          <w:sz w:val="20"/>
        </w:rPr>
        <w:t xml:space="preserve">ied, </w:t>
      </w:r>
      <w:r w:rsidR="00787299" w:rsidRPr="00A64250">
        <w:rPr>
          <w:color w:val="0000FF"/>
          <w:sz w:val="20"/>
        </w:rPr>
        <w:t>and then improve</w:t>
      </w:r>
      <w:r>
        <w:rPr>
          <w:color w:val="0000FF"/>
          <w:sz w:val="20"/>
        </w:rPr>
        <w:t>d</w:t>
      </w:r>
      <w:r w:rsidR="00787299" w:rsidRPr="00A64250">
        <w:rPr>
          <w:color w:val="0000FF"/>
          <w:sz w:val="20"/>
        </w:rPr>
        <w:t xml:space="preserve"> </w:t>
      </w:r>
    </w:p>
    <w:p w14:paraId="30153B6C" w14:textId="77777777" w:rsidR="004E628A" w:rsidRPr="00A64250" w:rsidRDefault="00787299" w:rsidP="00A32685">
      <w:pPr>
        <w:pStyle w:val="normal0"/>
        <w:numPr>
          <w:ilvl w:val="2"/>
          <w:numId w:val="1"/>
        </w:numPr>
        <w:spacing w:after="120" w:line="240" w:lineRule="auto"/>
        <w:ind w:hanging="360"/>
        <w:rPr>
          <w:color w:val="0000FF"/>
          <w:sz w:val="20"/>
        </w:rPr>
      </w:pPr>
      <w:r w:rsidRPr="00A64250">
        <w:rPr>
          <w:color w:val="0000FF"/>
          <w:sz w:val="20"/>
        </w:rPr>
        <w:t>Iteration logging</w:t>
      </w:r>
    </w:p>
    <w:p w14:paraId="3995639E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contextualSpacing/>
        <w:rPr>
          <w:sz w:val="20"/>
        </w:rPr>
      </w:pPr>
      <w:r w:rsidRPr="00A64250">
        <w:rPr>
          <w:sz w:val="20"/>
        </w:rPr>
        <w:t>From a broad M&amp;S perspective: what types of model use might (1.4) require?  E.g.: predictive, analysis, heuristic, reproduce another lab’s computational M&amp;S work, challenge a hypothesis, etc.</w:t>
      </w:r>
    </w:p>
    <w:p w14:paraId="331B85E2" w14:textId="6709C6A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Heuristic </w:t>
      </w:r>
      <w:r w:rsidR="00DA2837">
        <w:rPr>
          <w:color w:val="0000FF"/>
          <w:sz w:val="20"/>
        </w:rPr>
        <w:t>and explanatory</w:t>
      </w:r>
      <w:r w:rsidRPr="00A64250">
        <w:rPr>
          <w:color w:val="0000FF"/>
          <w:sz w:val="20"/>
        </w:rPr>
        <w:t xml:space="preserve"> </w:t>
      </w:r>
    </w:p>
    <w:p w14:paraId="41EBEEA4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Challenge a hypothesis; generate new hypotheses</w:t>
      </w:r>
    </w:p>
    <w:p w14:paraId="132EE49E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Enable dose-response simulations</w:t>
      </w:r>
    </w:p>
    <w:p w14:paraId="09054F7A" w14:textId="29D70652" w:rsidR="004E628A" w:rsidRPr="00A64250" w:rsidRDefault="00DA2837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Explore precision medicine interventions </w:t>
      </w:r>
      <w:r>
        <w:rPr>
          <w:color w:val="0000FF"/>
          <w:sz w:val="20"/>
        </w:rPr>
        <w:t>and e</w:t>
      </w:r>
      <w:r w:rsidR="00787299" w:rsidRPr="00A64250">
        <w:rPr>
          <w:color w:val="0000FF"/>
          <w:sz w:val="20"/>
        </w:rPr>
        <w:t xml:space="preserve">nable </w:t>
      </w:r>
      <w:r w:rsidRPr="00A64250">
        <w:rPr>
          <w:color w:val="0000FF"/>
          <w:sz w:val="20"/>
        </w:rPr>
        <w:t xml:space="preserve">simulations </w:t>
      </w:r>
      <w:r>
        <w:rPr>
          <w:color w:val="0000FF"/>
          <w:sz w:val="20"/>
        </w:rPr>
        <w:t xml:space="preserve">of new </w:t>
      </w:r>
      <w:r w:rsidR="00787299" w:rsidRPr="00A64250">
        <w:rPr>
          <w:color w:val="0000FF"/>
          <w:sz w:val="20"/>
        </w:rPr>
        <w:t>treatment intervention</w:t>
      </w:r>
      <w:r>
        <w:rPr>
          <w:color w:val="0000FF"/>
          <w:sz w:val="20"/>
        </w:rPr>
        <w:t>s</w:t>
      </w:r>
      <w:r w:rsidR="00787299" w:rsidRPr="00A64250">
        <w:rPr>
          <w:color w:val="0000FF"/>
          <w:sz w:val="20"/>
        </w:rPr>
        <w:t xml:space="preserve"> </w:t>
      </w:r>
      <w:r>
        <w:rPr>
          <w:color w:val="0000FF"/>
          <w:sz w:val="20"/>
        </w:rPr>
        <w:t>in humans</w:t>
      </w:r>
    </w:p>
    <w:p w14:paraId="2BC6B923" w14:textId="77777777" w:rsidR="004E628A" w:rsidRPr="00A64250" w:rsidRDefault="00787299">
      <w:pPr>
        <w:pStyle w:val="normal0"/>
        <w:numPr>
          <w:ilvl w:val="0"/>
          <w:numId w:val="1"/>
        </w:numPr>
        <w:spacing w:before="200" w:line="240" w:lineRule="auto"/>
        <w:ind w:hanging="360"/>
        <w:rPr>
          <w:b/>
          <w:sz w:val="20"/>
        </w:rPr>
      </w:pPr>
      <w:r w:rsidRPr="00A64250">
        <w:rPr>
          <w:b/>
          <w:sz w:val="20"/>
        </w:rPr>
        <w:t xml:space="preserve">Usage patterns </w:t>
      </w:r>
      <w:r w:rsidRPr="00A64250">
        <w:rPr>
          <w:sz w:val="20"/>
        </w:rPr>
        <w:t>(a pattern = similar use cases)</w:t>
      </w:r>
      <w:r w:rsidRPr="00A64250">
        <w:rPr>
          <w:b/>
          <w:sz w:val="20"/>
        </w:rPr>
        <w:t xml:space="preserve">   </w:t>
      </w:r>
    </w:p>
    <w:p w14:paraId="01B947F0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contextualSpacing/>
        <w:rPr>
          <w:sz w:val="20"/>
        </w:rPr>
      </w:pPr>
      <w:r w:rsidRPr="00A64250">
        <w:rPr>
          <w:sz w:val="20"/>
        </w:rPr>
        <w:t>Identify wet-lab experimental system usage patterns from (1.3).</w:t>
      </w:r>
    </w:p>
    <w:p w14:paraId="3C097BF5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Treat cultured hepatocytes with APAP (or sham) and </w:t>
      </w:r>
    </w:p>
    <w:p w14:paraId="52E54191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Dose mice with APAP (or sham).  Measure factors in plasma at intervals thereafter.  Sacrifice mice at intervals and measure whole liver preselected attributes at intervals thereafter</w:t>
      </w:r>
    </w:p>
    <w:p w14:paraId="4011472B" w14:textId="77777777" w:rsidR="004E628A" w:rsidRPr="00A64250" w:rsidRDefault="00787299" w:rsidP="00DA2837">
      <w:pPr>
        <w:pStyle w:val="normal0"/>
        <w:numPr>
          <w:ilvl w:val="1"/>
          <w:numId w:val="1"/>
        </w:numPr>
        <w:spacing w:before="120" w:line="240" w:lineRule="auto"/>
        <w:ind w:hanging="360"/>
        <w:rPr>
          <w:sz w:val="20"/>
        </w:rPr>
      </w:pPr>
      <w:r w:rsidRPr="00A64250">
        <w:rPr>
          <w:sz w:val="20"/>
        </w:rPr>
        <w:t xml:space="preserve">Detail planned &amp; envisioned (immediate, near-term, longer-term) model usage patterns </w:t>
      </w:r>
    </w:p>
    <w:p w14:paraId="57DC6BEA" w14:textId="6B596A7A" w:rsidR="004E628A" w:rsidRPr="00DA2837" w:rsidRDefault="00787299" w:rsidP="00DA2837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DA2837">
        <w:rPr>
          <w:color w:val="0000FF"/>
          <w:sz w:val="20"/>
        </w:rPr>
        <w:t xml:space="preserve">Document quantitative and qualitative model-to-referent similarities for multiple simulated and actual </w:t>
      </w:r>
      <w:r w:rsidR="00DA2837" w:rsidRPr="00DA2837">
        <w:rPr>
          <w:color w:val="0000FF"/>
          <w:sz w:val="20"/>
        </w:rPr>
        <w:t>APAP</w:t>
      </w:r>
      <w:r w:rsidRPr="00DA2837">
        <w:rPr>
          <w:color w:val="0000FF"/>
          <w:sz w:val="20"/>
        </w:rPr>
        <w:t>-induced injury attributes</w:t>
      </w:r>
      <w:r w:rsidR="00DA2837" w:rsidRPr="00DA2837">
        <w:rPr>
          <w:color w:val="0000FF"/>
          <w:sz w:val="20"/>
        </w:rPr>
        <w:t xml:space="preserve"> </w:t>
      </w:r>
    </w:p>
    <w:p w14:paraId="3E24DDEE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Embed sufficient knowledge so that the model can be a stand-alone explanation of selected phenomena</w:t>
      </w:r>
    </w:p>
    <w:p w14:paraId="2762B8D9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Generated details can be easily understood across multiple domains (e.g. clinicians, policy makers, and regulators)</w:t>
      </w:r>
    </w:p>
    <w:p w14:paraId="115A17F4" w14:textId="1F86B236" w:rsidR="004E628A" w:rsidRPr="00A64250" w:rsidRDefault="00DA2837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>
        <w:rPr>
          <w:color w:val="0000FF"/>
          <w:sz w:val="20"/>
        </w:rPr>
        <w:t xml:space="preserve">Models and </w:t>
      </w:r>
      <w:r w:rsidRPr="00A64250">
        <w:rPr>
          <w:color w:val="0000FF"/>
          <w:sz w:val="20"/>
        </w:rPr>
        <w:t>components</w:t>
      </w:r>
      <w:r>
        <w:rPr>
          <w:color w:val="0000FF"/>
          <w:sz w:val="20"/>
        </w:rPr>
        <w:t xml:space="preserve"> can be</w:t>
      </w:r>
      <w:r w:rsidR="00787299" w:rsidRPr="00A64250">
        <w:rPr>
          <w:color w:val="0000FF"/>
          <w:sz w:val="20"/>
        </w:rPr>
        <w:t xml:space="preserve"> reuse</w:t>
      </w:r>
      <w:r>
        <w:rPr>
          <w:color w:val="0000FF"/>
          <w:sz w:val="20"/>
        </w:rPr>
        <w:t>d and repurposed</w:t>
      </w:r>
      <w:r w:rsidR="00787299" w:rsidRPr="00A64250">
        <w:rPr>
          <w:color w:val="0000FF"/>
          <w:sz w:val="20"/>
        </w:rPr>
        <w:t xml:space="preserve"> to address completely different biomedical objectives</w:t>
      </w:r>
    </w:p>
    <w:p w14:paraId="4855AB2E" w14:textId="77777777" w:rsidR="004E628A" w:rsidRPr="00A64250" w:rsidRDefault="00787299">
      <w:pPr>
        <w:pStyle w:val="normal0"/>
        <w:numPr>
          <w:ilvl w:val="1"/>
          <w:numId w:val="1"/>
        </w:numPr>
        <w:spacing w:before="200" w:line="240" w:lineRule="auto"/>
        <w:ind w:hanging="360"/>
        <w:rPr>
          <w:sz w:val="20"/>
        </w:rPr>
      </w:pPr>
      <w:r w:rsidRPr="00A64250">
        <w:rPr>
          <w:sz w:val="20"/>
        </w:rPr>
        <w:t xml:space="preserve">Identify targeted attributes (TAs) </w:t>
      </w:r>
    </w:p>
    <w:p w14:paraId="1994DEC0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Necrosis occurs first close to lobular central vein; necrosis evident at 4h post-dose; majority of necrosis evident by 12h </w:t>
      </w:r>
    </w:p>
    <w:p w14:paraId="7F3239D2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Fraction of APAP metabolized to reactive metabolite NAPQI is location dependent within hepatic lobules</w:t>
      </w:r>
    </w:p>
    <w:p w14:paraId="44E137D5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Quantitative APAP pharmacokinetic profile; hepatic extraction of APAP </w:t>
      </w:r>
    </w:p>
    <w:p w14:paraId="0F27BAAD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JNK inhibitor SP600125 given 2h after a toxic APAP dose, significantly inhibits necrosis</w:t>
      </w:r>
    </w:p>
    <w:p w14:paraId="02313F97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rPr>
          <w:sz w:val="20"/>
        </w:rPr>
      </w:pPr>
      <w:r w:rsidRPr="00A64250">
        <w:rPr>
          <w:sz w:val="20"/>
        </w:rPr>
        <w:t>Identify specific interactions between (3.2) and (3.1).</w:t>
      </w:r>
    </w:p>
    <w:p w14:paraId="366134EF" w14:textId="75F23E45" w:rsidR="004E628A" w:rsidRDefault="00DA2837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>
        <w:rPr>
          <w:color w:val="0000FF"/>
          <w:sz w:val="20"/>
        </w:rPr>
        <w:t>Features of simulated causal cascades (e.g.</w:t>
      </w:r>
      <w:r w:rsidR="00787299" w:rsidRPr="00A64250">
        <w:rPr>
          <w:color w:val="0000FF"/>
          <w:sz w:val="20"/>
        </w:rPr>
        <w:t xml:space="preserve"> periportal and centrilobular differences </w:t>
      </w:r>
      <w:r>
        <w:rPr>
          <w:color w:val="0000FF"/>
          <w:sz w:val="20"/>
        </w:rPr>
        <w:t>at particular time after dosing) become</w:t>
      </w:r>
      <w:r w:rsidR="00787299" w:rsidRPr="00A64250">
        <w:rPr>
          <w:color w:val="0000FF"/>
          <w:sz w:val="20"/>
        </w:rPr>
        <w:t xml:space="preserve"> targets </w:t>
      </w:r>
      <w:r>
        <w:rPr>
          <w:color w:val="0000FF"/>
          <w:sz w:val="20"/>
        </w:rPr>
        <w:t>(predictions) that are challenged by</w:t>
      </w:r>
      <w:r w:rsidR="00787299" w:rsidRPr="00A64250">
        <w:rPr>
          <w:color w:val="0000FF"/>
          <w:sz w:val="20"/>
        </w:rPr>
        <w:t xml:space="preserve"> </w:t>
      </w:r>
      <w:r>
        <w:rPr>
          <w:color w:val="0000FF"/>
          <w:sz w:val="20"/>
        </w:rPr>
        <w:t xml:space="preserve">new </w:t>
      </w:r>
      <w:r w:rsidR="00787299" w:rsidRPr="00A64250">
        <w:rPr>
          <w:color w:val="0000FF"/>
          <w:sz w:val="20"/>
        </w:rPr>
        <w:t>wet-lab experiments</w:t>
      </w:r>
      <w:r>
        <w:rPr>
          <w:color w:val="0000FF"/>
          <w:sz w:val="20"/>
        </w:rPr>
        <w:t xml:space="preserve">.  </w:t>
      </w:r>
    </w:p>
    <w:p w14:paraId="77E3B70C" w14:textId="695D6ECE" w:rsidR="00DA2837" w:rsidRPr="00A64250" w:rsidRDefault="005F5B1E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>
        <w:rPr>
          <w:color w:val="0000FF"/>
          <w:sz w:val="20"/>
        </w:rPr>
        <w:t>Challenging simulation details enables more focused and efficient experiments requiring fewer animals</w:t>
      </w:r>
    </w:p>
    <w:p w14:paraId="4A388DB1" w14:textId="07DD8C0A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rPr>
          <w:sz w:val="20"/>
        </w:rPr>
      </w:pPr>
      <w:r w:rsidRPr="00A64250">
        <w:rPr>
          <w:sz w:val="20"/>
        </w:rPr>
        <w:t xml:space="preserve">Metrics: for a given usage pattern, </w:t>
      </w:r>
      <w:r w:rsidR="00DA2837">
        <w:rPr>
          <w:sz w:val="20"/>
        </w:rPr>
        <w:t>state</w:t>
      </w:r>
      <w:r w:rsidRPr="00A64250">
        <w:rPr>
          <w:sz w:val="20"/>
        </w:rPr>
        <w:t xml:space="preserve"> how model outputs and TAs will be mapped to outcome criteria.  </w:t>
      </w:r>
    </w:p>
    <w:p w14:paraId="76A09A1C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Simulated 0–24h plasma APAP pharmacokinetic profile values are within ±15% of corresponding measurements in mice</w:t>
      </w:r>
    </w:p>
    <w:p w14:paraId="0A452A13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Simulated hepatic extraction of APAP = 50±10%</w:t>
      </w:r>
    </w:p>
    <w:p w14:paraId="1A6BBECC" w14:textId="77777777" w:rsidR="004E628A" w:rsidRPr="00A64250" w:rsidRDefault="00787299" w:rsidP="00DA2837">
      <w:pPr>
        <w:pStyle w:val="normal0"/>
        <w:numPr>
          <w:ilvl w:val="1"/>
          <w:numId w:val="1"/>
        </w:numPr>
        <w:spacing w:before="120" w:line="240" w:lineRule="auto"/>
        <w:ind w:hanging="360"/>
        <w:rPr>
          <w:sz w:val="20"/>
        </w:rPr>
      </w:pPr>
      <w:r w:rsidRPr="00A64250">
        <w:rPr>
          <w:sz w:val="20"/>
        </w:rPr>
        <w:t xml:space="preserve">Design concrete verification cases for each usage pattern. </w:t>
      </w:r>
    </w:p>
    <w:p w14:paraId="32834BD0" w14:textId="77777777" w:rsidR="004E628A" w:rsidRPr="00A64250" w:rsidRDefault="00787299">
      <w:pPr>
        <w:pStyle w:val="normal0"/>
        <w:numPr>
          <w:ilvl w:val="0"/>
          <w:numId w:val="1"/>
        </w:numPr>
        <w:spacing w:before="200" w:line="240" w:lineRule="auto"/>
        <w:ind w:hanging="360"/>
        <w:rPr>
          <w:b/>
          <w:sz w:val="20"/>
        </w:rPr>
      </w:pPr>
      <w:r w:rsidRPr="00A64250">
        <w:rPr>
          <w:b/>
          <w:sz w:val="20"/>
        </w:rPr>
        <w:t>Survey</w:t>
      </w:r>
    </w:p>
    <w:p w14:paraId="72002AC6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contextualSpacing/>
        <w:rPr>
          <w:sz w:val="20"/>
        </w:rPr>
      </w:pPr>
      <w:r w:rsidRPr="00A64250">
        <w:rPr>
          <w:sz w:val="20"/>
        </w:rPr>
        <w:t>List a broad sample of prior modeling approaches that have been used for the usage pattern from (3.2).</w:t>
      </w:r>
    </w:p>
    <w:p w14:paraId="0B75E153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ODE multicompartment models</w:t>
      </w:r>
    </w:p>
    <w:p w14:paraId="4451D623" w14:textId="77777777" w:rsidR="004E628A" w:rsidRPr="00A64250" w:rsidRDefault="004764F3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hyperlink r:id="rId8">
        <w:r w:rsidR="00787299" w:rsidRPr="00A64250">
          <w:rPr>
            <w:color w:val="1155CC"/>
            <w:sz w:val="20"/>
            <w:u w:val="single"/>
          </w:rPr>
          <w:t>http://www.dilisym.com</w:t>
        </w:r>
      </w:hyperlink>
    </w:p>
    <w:p w14:paraId="1290E445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rPr>
          <w:sz w:val="20"/>
        </w:rPr>
      </w:pPr>
      <w:r w:rsidRPr="00A64250">
        <w:rPr>
          <w:sz w:val="20"/>
        </w:rPr>
        <w:t>List available (external or internal) models that might be repurposed; and estimate the feasibility of doing so for each one.</w:t>
      </w:r>
    </w:p>
    <w:p w14:paraId="5B91DF97" w14:textId="47A622C2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DILIsym</w:t>
      </w:r>
      <w:r w:rsidR="00B26674">
        <w:rPr>
          <w:color w:val="0000FF"/>
          <w:sz w:val="20"/>
        </w:rPr>
        <w:t xml:space="preserve"> (4.1.2)</w:t>
      </w:r>
      <w:r w:rsidRPr="00A64250">
        <w:rPr>
          <w:color w:val="0000FF"/>
          <w:sz w:val="20"/>
        </w:rPr>
        <w:t>, but it is not currently available to be repurposed</w:t>
      </w:r>
    </w:p>
    <w:p w14:paraId="063B8A5C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rPr>
          <w:sz w:val="20"/>
        </w:rPr>
      </w:pPr>
      <w:r w:rsidRPr="00A64250">
        <w:rPr>
          <w:sz w:val="20"/>
        </w:rPr>
        <w:t>Given (2) &amp; (3), are there standard formats and model structures?  Should they be adopted?  Will their adoption alter (1.4), (2.2), (3.2), (3.4), or (3.5)?</w:t>
      </w:r>
    </w:p>
    <w:p w14:paraId="3537B17B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No current standard formats or model structures</w:t>
      </w:r>
    </w:p>
    <w:p w14:paraId="34A08F28" w14:textId="77777777" w:rsidR="004E628A" w:rsidRPr="00A64250" w:rsidRDefault="00787299">
      <w:pPr>
        <w:pStyle w:val="normal0"/>
        <w:numPr>
          <w:ilvl w:val="0"/>
          <w:numId w:val="1"/>
        </w:numPr>
        <w:spacing w:before="200" w:line="240" w:lineRule="auto"/>
        <w:ind w:hanging="360"/>
        <w:rPr>
          <w:b/>
          <w:sz w:val="20"/>
        </w:rPr>
      </w:pPr>
      <w:r w:rsidRPr="00A64250">
        <w:rPr>
          <w:b/>
          <w:sz w:val="20"/>
        </w:rPr>
        <w:t>Requirements</w:t>
      </w:r>
    </w:p>
    <w:p w14:paraId="0EA0B259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right="-270" w:hanging="360"/>
        <w:contextualSpacing/>
        <w:rPr>
          <w:sz w:val="20"/>
        </w:rPr>
      </w:pPr>
      <w:r w:rsidRPr="00A64250">
        <w:rPr>
          <w:sz w:val="20"/>
        </w:rPr>
        <w:t xml:space="preserve">List immediate, near-term, and longer-term requirements as consequences of (1-4). </w:t>
      </w:r>
    </w:p>
    <w:p w14:paraId="45E6B861" w14:textId="132B9082" w:rsidR="004E628A" w:rsidRPr="00A64250" w:rsidRDefault="00A56078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Model components and spaces are concrete </w:t>
      </w:r>
      <w:r w:rsidR="00864AED">
        <w:rPr>
          <w:color w:val="0000FF"/>
          <w:sz w:val="20"/>
        </w:rPr>
        <w:t>and modular</w:t>
      </w:r>
    </w:p>
    <w:p w14:paraId="3F3C35FC" w14:textId="02770B15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Components and spaces are biomimetic and easy to assemble</w:t>
      </w:r>
      <w:r w:rsidR="00864AED">
        <w:rPr>
          <w:color w:val="0000FF"/>
          <w:sz w:val="20"/>
        </w:rPr>
        <w:t xml:space="preserve">, </w:t>
      </w:r>
      <w:r w:rsidRPr="00A64250">
        <w:rPr>
          <w:color w:val="0000FF"/>
          <w:sz w:val="20"/>
        </w:rPr>
        <w:t>disassemble</w:t>
      </w:r>
      <w:r w:rsidR="00864AED">
        <w:rPr>
          <w:color w:val="0000FF"/>
          <w:sz w:val="20"/>
        </w:rPr>
        <w:t>,</w:t>
      </w:r>
      <w:r w:rsidRPr="00A64250">
        <w:rPr>
          <w:color w:val="0000FF"/>
          <w:sz w:val="20"/>
        </w:rPr>
        <w:t xml:space="preserve"> and reassemble to 1) generate, test, validate or falsify alternative mechanisms; 2) simulate current, past, and future laboratory or clinical experiments; and longer term, 3) to construct multi-attribute models capable of becoming individualizable virtual patients.  </w:t>
      </w:r>
    </w:p>
    <w:p w14:paraId="03EFC8BC" w14:textId="67F9A10A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Simulation experiments are feasible in the presence and absence of multiple mobile compound objects</w:t>
      </w:r>
      <w:r w:rsidR="00864AED">
        <w:rPr>
          <w:color w:val="0000FF"/>
          <w:sz w:val="20"/>
        </w:rPr>
        <w:t>, which</w:t>
      </w:r>
      <w:r w:rsidRPr="00A64250">
        <w:rPr>
          <w:color w:val="0000FF"/>
          <w:sz w:val="20"/>
        </w:rPr>
        <w:t xml:space="preserve"> map to </w:t>
      </w:r>
      <w:r w:rsidR="00864AED">
        <w:rPr>
          <w:color w:val="0000FF"/>
          <w:sz w:val="20"/>
        </w:rPr>
        <w:t>APAP</w:t>
      </w:r>
      <w:r w:rsidRPr="00A64250">
        <w:rPr>
          <w:color w:val="0000FF"/>
          <w:sz w:val="20"/>
        </w:rPr>
        <w:t xml:space="preserve">, </w:t>
      </w:r>
      <w:r w:rsidR="00864AED">
        <w:rPr>
          <w:color w:val="0000FF"/>
          <w:sz w:val="20"/>
        </w:rPr>
        <w:t xml:space="preserve">its </w:t>
      </w:r>
      <w:r w:rsidRPr="00A64250">
        <w:rPr>
          <w:color w:val="0000FF"/>
          <w:sz w:val="20"/>
        </w:rPr>
        <w:t xml:space="preserve">metabolites, toxicity cascade factors, etc. </w:t>
      </w:r>
    </w:p>
    <w:p w14:paraId="20F49304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Coarse grain (from the perspective of biomimetic organization) phenomena will derive mostly from local component interactions at a finer grain. </w:t>
      </w:r>
    </w:p>
    <w:p w14:paraId="61B8B533" w14:textId="77777777" w:rsidR="004E628A" w:rsidRPr="00A64250" w:rsidRDefault="00787299">
      <w:pPr>
        <w:pStyle w:val="normal0"/>
        <w:numPr>
          <w:ilvl w:val="0"/>
          <w:numId w:val="1"/>
        </w:numPr>
        <w:spacing w:before="200" w:line="240" w:lineRule="auto"/>
        <w:ind w:hanging="360"/>
        <w:rPr>
          <w:b/>
          <w:sz w:val="20"/>
        </w:rPr>
      </w:pPr>
      <w:r w:rsidRPr="00A64250">
        <w:rPr>
          <w:b/>
          <w:sz w:val="20"/>
        </w:rPr>
        <w:t>Implementation</w:t>
      </w:r>
    </w:p>
    <w:p w14:paraId="060C60F0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contextualSpacing/>
        <w:rPr>
          <w:sz w:val="20"/>
        </w:rPr>
      </w:pPr>
      <w:r w:rsidRPr="00A64250">
        <w:rPr>
          <w:sz w:val="20"/>
        </w:rPr>
        <w:t>Choose M&amp;S techniques and structures needed to actualize (3) &amp; (5).</w:t>
      </w:r>
    </w:p>
    <w:p w14:paraId="23EF90E2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Agent-based techniques are necessary and sufficient</w:t>
      </w:r>
    </w:p>
    <w:p w14:paraId="389602B2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 xml:space="preserve">Networked components interact within biomimetic spaces </w:t>
      </w:r>
    </w:p>
    <w:p w14:paraId="6DF24346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color w:val="0000FF"/>
          <w:sz w:val="20"/>
        </w:rPr>
      </w:pPr>
      <w:r w:rsidRPr="00A64250">
        <w:rPr>
          <w:color w:val="0000FF"/>
          <w:sz w:val="20"/>
        </w:rPr>
        <w:t>Select the MASON framework and toolkit.</w:t>
      </w:r>
    </w:p>
    <w:p w14:paraId="020BC1C1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rPr>
          <w:sz w:val="20"/>
        </w:rPr>
      </w:pPr>
      <w:r w:rsidRPr="00A64250">
        <w:rPr>
          <w:sz w:val="20"/>
        </w:rPr>
        <w:t>Begin and track development in source or model repository.</w:t>
      </w:r>
    </w:p>
    <w:p w14:paraId="1814BD31" w14:textId="77777777" w:rsidR="004E628A" w:rsidRPr="00A64250" w:rsidRDefault="00787299" w:rsidP="0042534A">
      <w:pPr>
        <w:pStyle w:val="normal0"/>
        <w:numPr>
          <w:ilvl w:val="2"/>
          <w:numId w:val="1"/>
        </w:numPr>
        <w:spacing w:line="240" w:lineRule="auto"/>
        <w:ind w:hanging="360"/>
        <w:rPr>
          <w:sz w:val="20"/>
        </w:rPr>
      </w:pPr>
      <w:r w:rsidRPr="00A64250">
        <w:rPr>
          <w:sz w:val="20"/>
        </w:rPr>
        <w:t>If repurposed modules are used, fork them in a traceable way, including licenses and rights.</w:t>
      </w:r>
    </w:p>
    <w:p w14:paraId="6EAABD7E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rPr>
          <w:sz w:val="20"/>
        </w:rPr>
      </w:pPr>
      <w:r w:rsidRPr="00A64250">
        <w:rPr>
          <w:sz w:val="20"/>
        </w:rPr>
        <w:t>Verify against verification cases.  Tag/Log model version V0.</w:t>
      </w:r>
    </w:p>
    <w:p w14:paraId="27348090" w14:textId="77777777" w:rsidR="004E628A" w:rsidRPr="00A64250" w:rsidRDefault="00787299">
      <w:pPr>
        <w:pStyle w:val="normal0"/>
        <w:numPr>
          <w:ilvl w:val="0"/>
          <w:numId w:val="1"/>
        </w:numPr>
        <w:spacing w:before="120" w:line="240" w:lineRule="auto"/>
        <w:ind w:hanging="360"/>
        <w:rPr>
          <w:b/>
          <w:sz w:val="20"/>
        </w:rPr>
      </w:pPr>
      <w:r w:rsidRPr="00A64250">
        <w:rPr>
          <w:b/>
          <w:sz w:val="20"/>
        </w:rPr>
        <w:t>Executions</w:t>
      </w:r>
    </w:p>
    <w:p w14:paraId="2434DC78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contextualSpacing/>
        <w:rPr>
          <w:sz w:val="20"/>
        </w:rPr>
      </w:pPr>
      <w:r w:rsidRPr="00A64250">
        <w:rPr>
          <w:sz w:val="20"/>
        </w:rPr>
        <w:t>Execute experiments on V0 and evolve the model through the Iterative Refinement Protocol (IRP), producing model version V</w:t>
      </w:r>
      <w:r w:rsidRPr="00A64250">
        <w:rPr>
          <w:sz w:val="20"/>
          <w:vertAlign w:val="subscript"/>
        </w:rPr>
        <w:t>N</w:t>
      </w:r>
      <w:r w:rsidRPr="00A64250">
        <w:rPr>
          <w:sz w:val="20"/>
        </w:rPr>
        <w:t xml:space="preserve"> </w:t>
      </w:r>
    </w:p>
    <w:p w14:paraId="1AFABE5D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sz w:val="20"/>
        </w:rPr>
      </w:pPr>
      <w:r w:rsidRPr="00A64250">
        <w:rPr>
          <w:sz w:val="20"/>
        </w:rPr>
        <w:t>An example: the objective if the IRP cycle is to challenge a particular mechanism hypothesis that may explain a particular phenomenon</w:t>
      </w:r>
    </w:p>
    <w:p w14:paraId="2065B64D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sz w:val="20"/>
        </w:rPr>
      </w:pPr>
      <w:r w:rsidRPr="00A64250">
        <w:rPr>
          <w:sz w:val="20"/>
        </w:rPr>
        <w:t xml:space="preserve">IRP example: Fig. 1 here: </w:t>
      </w:r>
      <w:hyperlink r:id="rId9">
        <w:r w:rsidRPr="00A64250">
          <w:rPr>
            <w:color w:val="1155CC"/>
            <w:sz w:val="20"/>
            <w:u w:val="single"/>
          </w:rPr>
          <w:t>http://www.biomedcentral.com/1752-0509/8/95/</w:t>
        </w:r>
      </w:hyperlink>
      <w:r w:rsidRPr="00A64250">
        <w:rPr>
          <w:sz w:val="20"/>
        </w:rPr>
        <w:t xml:space="preserve"> </w:t>
      </w:r>
    </w:p>
    <w:p w14:paraId="790F6A81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rPr>
          <w:sz w:val="20"/>
        </w:rPr>
      </w:pPr>
      <w:r w:rsidRPr="00A64250">
        <w:rPr>
          <w:sz w:val="20"/>
        </w:rPr>
        <w:t>If outcomes achieved, Log/Tag V</w:t>
      </w:r>
      <w:r w:rsidRPr="00A64250">
        <w:rPr>
          <w:sz w:val="20"/>
          <w:vertAlign w:val="subscript"/>
        </w:rPr>
        <w:t>N</w:t>
      </w:r>
      <w:r w:rsidRPr="00A64250">
        <w:rPr>
          <w:sz w:val="20"/>
        </w:rPr>
        <w:t>, experiment parameter vectors and I/O, reproduction and data reduction scripts.</w:t>
      </w:r>
    </w:p>
    <w:p w14:paraId="5F75E274" w14:textId="77777777" w:rsidR="004E628A" w:rsidRPr="00A64250" w:rsidRDefault="00787299">
      <w:pPr>
        <w:pStyle w:val="normal0"/>
        <w:numPr>
          <w:ilvl w:val="2"/>
          <w:numId w:val="1"/>
        </w:numPr>
        <w:spacing w:before="120" w:line="240" w:lineRule="auto"/>
        <w:ind w:hanging="360"/>
        <w:contextualSpacing/>
        <w:rPr>
          <w:sz w:val="20"/>
        </w:rPr>
      </w:pPr>
      <w:r w:rsidRPr="00A64250">
        <w:rPr>
          <w:sz w:val="20"/>
        </w:rPr>
        <w:t>If outcomes are deemed infeasible, document post-mortem.</w:t>
      </w:r>
    </w:p>
    <w:p w14:paraId="487D6544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rPr>
          <w:sz w:val="20"/>
        </w:rPr>
      </w:pPr>
      <w:r w:rsidRPr="00A64250">
        <w:rPr>
          <w:sz w:val="20"/>
        </w:rPr>
        <w:t>Sensitivity and Robustness analysis - Log/Tag robustness region parameter vectors and I/O, analysis scripts, and notes.</w:t>
      </w:r>
    </w:p>
    <w:p w14:paraId="0DA2B57A" w14:textId="77777777" w:rsidR="004E628A" w:rsidRPr="00A64250" w:rsidRDefault="00787299">
      <w:pPr>
        <w:pStyle w:val="normal0"/>
        <w:numPr>
          <w:ilvl w:val="0"/>
          <w:numId w:val="1"/>
        </w:numPr>
        <w:spacing w:before="120" w:line="240" w:lineRule="auto"/>
        <w:ind w:hanging="360"/>
        <w:rPr>
          <w:b/>
          <w:sz w:val="20"/>
        </w:rPr>
      </w:pPr>
      <w:r w:rsidRPr="00A64250">
        <w:rPr>
          <w:b/>
          <w:sz w:val="20"/>
        </w:rPr>
        <w:t>Documentation</w:t>
      </w:r>
    </w:p>
    <w:p w14:paraId="3618BFA5" w14:textId="77777777" w:rsidR="004E628A" w:rsidRPr="00A64250" w:rsidRDefault="00787299">
      <w:pPr>
        <w:pStyle w:val="normal0"/>
        <w:numPr>
          <w:ilvl w:val="1"/>
          <w:numId w:val="1"/>
        </w:numPr>
        <w:spacing w:before="120" w:line="240" w:lineRule="auto"/>
        <w:ind w:hanging="360"/>
        <w:contextualSpacing/>
        <w:rPr>
          <w:sz w:val="20"/>
        </w:rPr>
      </w:pPr>
      <w:r w:rsidRPr="00A64250">
        <w:rPr>
          <w:sz w:val="20"/>
        </w:rPr>
        <w:t>Upload documentation, example results, and code used to generate those results, first to the group’s server and subsequently to a publically accessible site such as</w:t>
      </w:r>
      <w:hyperlink r:id="rId10">
        <w:r w:rsidRPr="00A64250">
          <w:rPr>
            <w:sz w:val="20"/>
          </w:rPr>
          <w:t xml:space="preserve"> </w:t>
        </w:r>
      </w:hyperlink>
      <w:hyperlink r:id="rId11">
        <w:r w:rsidRPr="00A64250">
          <w:rPr>
            <w:color w:val="1155CC"/>
            <w:sz w:val="20"/>
            <w:u w:val="single"/>
          </w:rPr>
          <w:t>https://simtk.org/</w:t>
        </w:r>
      </w:hyperlink>
      <w:r w:rsidRPr="00A64250">
        <w:rPr>
          <w:sz w:val="20"/>
        </w:rPr>
        <w:t xml:space="preserve">.  </w:t>
      </w:r>
    </w:p>
    <w:p w14:paraId="6E7CEADD" w14:textId="77777777" w:rsidR="004E628A" w:rsidRPr="00A64250" w:rsidRDefault="004E628A">
      <w:pPr>
        <w:pStyle w:val="normal0"/>
        <w:spacing w:line="240" w:lineRule="auto"/>
        <w:rPr>
          <w:sz w:val="20"/>
        </w:rPr>
      </w:pPr>
    </w:p>
    <w:sectPr w:rsidR="004E628A" w:rsidRPr="00A64250">
      <w:headerReference w:type="default" r:id="rId12"/>
      <w:footerReference w:type="even" r:id="rId13"/>
      <w:footerReference w:type="defaul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000E3C" w14:textId="77777777" w:rsidR="000E7448" w:rsidRDefault="000E7448">
      <w:pPr>
        <w:spacing w:line="240" w:lineRule="auto"/>
      </w:pPr>
      <w:r>
        <w:separator/>
      </w:r>
    </w:p>
  </w:endnote>
  <w:endnote w:type="continuationSeparator" w:id="0">
    <w:p w14:paraId="10020006" w14:textId="77777777" w:rsidR="000E7448" w:rsidRDefault="000E74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7BB333" w14:textId="77777777" w:rsidR="000E7448" w:rsidRDefault="000E7448" w:rsidP="00CD5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86C1557" w14:textId="77777777" w:rsidR="000E7448" w:rsidRDefault="000E744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4AB008" w14:textId="77777777" w:rsidR="000E7448" w:rsidRDefault="000E7448" w:rsidP="00CD5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764F3">
      <w:rPr>
        <w:rStyle w:val="PageNumber"/>
        <w:noProof/>
      </w:rPr>
      <w:t>1</w:t>
    </w:r>
    <w:r>
      <w:rPr>
        <w:rStyle w:val="PageNumber"/>
      </w:rPr>
      <w:fldChar w:fldCharType="end"/>
    </w:r>
  </w:p>
  <w:p w14:paraId="325E38A9" w14:textId="55968A76" w:rsidR="000E7448" w:rsidRDefault="000E7448">
    <w:pPr>
      <w:pStyle w:val="normal0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4B1CE4" w14:textId="77777777" w:rsidR="000E7448" w:rsidRDefault="000E7448">
      <w:pPr>
        <w:spacing w:line="240" w:lineRule="auto"/>
      </w:pPr>
      <w:r>
        <w:separator/>
      </w:r>
    </w:p>
  </w:footnote>
  <w:footnote w:type="continuationSeparator" w:id="0">
    <w:p w14:paraId="59DF5D23" w14:textId="77777777" w:rsidR="000E7448" w:rsidRDefault="000E744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13AB8F" w14:textId="2A09B234" w:rsidR="000E7448" w:rsidRPr="00214E07" w:rsidRDefault="000E7448">
    <w:pPr>
      <w:pStyle w:val="normal0"/>
      <w:spacing w:before="200"/>
      <w:rPr>
        <w:color w:val="808080" w:themeColor="background1" w:themeShade="80"/>
      </w:rPr>
    </w:pPr>
    <w:r w:rsidRPr="00214E07">
      <w:rPr>
        <w:color w:val="808080" w:themeColor="background1" w:themeShade="80"/>
        <w:sz w:val="18"/>
        <w:szCs w:val="18"/>
      </w:rPr>
      <w:t xml:space="preserve">A project of the </w:t>
    </w:r>
    <w:r w:rsidRPr="00214E07">
      <w:rPr>
        <w:b/>
        <w:i/>
        <w:color w:val="808080" w:themeColor="background1" w:themeShade="80"/>
        <w:sz w:val="18"/>
        <w:szCs w:val="18"/>
      </w:rPr>
      <w:t xml:space="preserve">Committee on Credible Practice of Modeling &amp; Simulation in Healthcare </w:t>
    </w:r>
    <w:r w:rsidRPr="00214E07">
      <w:rPr>
        <w:i/>
        <w:color w:val="808080" w:themeColor="background1" w:themeShade="80"/>
        <w:sz w:val="18"/>
        <w:szCs w:val="18"/>
      </w:rPr>
      <w:t>(CPMS)</w:t>
    </w:r>
    <w:r w:rsidR="00671673">
      <w:rPr>
        <w:color w:val="808080" w:themeColor="background1" w:themeShade="80"/>
        <w:sz w:val="18"/>
        <w:szCs w:val="18"/>
      </w:rPr>
      <w:tab/>
      <w:t>10/19</w:t>
    </w:r>
    <w:r w:rsidRPr="00214E07">
      <w:rPr>
        <w:color w:val="808080" w:themeColor="background1" w:themeShade="80"/>
        <w:sz w:val="18"/>
        <w:szCs w:val="18"/>
      </w:rPr>
      <w:t>/15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4304D"/>
    <w:multiLevelType w:val="multilevel"/>
    <w:tmpl w:val="5232B4E8"/>
    <w:lvl w:ilvl="0">
      <w:start w:val="1"/>
      <w:numFmt w:val="decimal"/>
      <w:lvlText w:val="%1."/>
      <w:lvlJc w:val="right"/>
      <w:pPr>
        <w:ind w:left="720" w:firstLine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firstLine="108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firstLine="252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firstLine="324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firstLine="468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firstLine="540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isplayBackgroundShape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E628A"/>
    <w:rsid w:val="000E7448"/>
    <w:rsid w:val="00114E85"/>
    <w:rsid w:val="00214E07"/>
    <w:rsid w:val="002753B7"/>
    <w:rsid w:val="004134EC"/>
    <w:rsid w:val="00421E00"/>
    <w:rsid w:val="0042534A"/>
    <w:rsid w:val="004764F3"/>
    <w:rsid w:val="004E628A"/>
    <w:rsid w:val="005F5B1E"/>
    <w:rsid w:val="00671673"/>
    <w:rsid w:val="00787299"/>
    <w:rsid w:val="00864AED"/>
    <w:rsid w:val="009734B8"/>
    <w:rsid w:val="00A13916"/>
    <w:rsid w:val="00A32685"/>
    <w:rsid w:val="00A3417D"/>
    <w:rsid w:val="00A56078"/>
    <w:rsid w:val="00A64250"/>
    <w:rsid w:val="00B26674"/>
    <w:rsid w:val="00CD0D0F"/>
    <w:rsid w:val="00CD50E9"/>
    <w:rsid w:val="00DA2837"/>
    <w:rsid w:val="00F2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818AC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214E07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E07"/>
  </w:style>
  <w:style w:type="paragraph" w:styleId="Footer">
    <w:name w:val="footer"/>
    <w:basedOn w:val="Normal"/>
    <w:link w:val="FooterChar"/>
    <w:uiPriority w:val="99"/>
    <w:unhideWhenUsed/>
    <w:rsid w:val="00214E07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E07"/>
  </w:style>
  <w:style w:type="character" w:styleId="PageNumber">
    <w:name w:val="page number"/>
    <w:basedOn w:val="DefaultParagraphFont"/>
    <w:uiPriority w:val="99"/>
    <w:semiHidden/>
    <w:unhideWhenUsed/>
    <w:rsid w:val="00CD50E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214E07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E07"/>
  </w:style>
  <w:style w:type="paragraph" w:styleId="Footer">
    <w:name w:val="footer"/>
    <w:basedOn w:val="Normal"/>
    <w:link w:val="FooterChar"/>
    <w:uiPriority w:val="99"/>
    <w:unhideWhenUsed/>
    <w:rsid w:val="00214E07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E07"/>
  </w:style>
  <w:style w:type="character" w:styleId="PageNumber">
    <w:name w:val="page number"/>
    <w:basedOn w:val="DefaultParagraphFont"/>
    <w:uiPriority w:val="99"/>
    <w:semiHidden/>
    <w:unhideWhenUsed/>
    <w:rsid w:val="00CD50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simtk.org/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dilisym.com" TargetMode="External"/><Relationship Id="rId9" Type="http://schemas.openxmlformats.org/officeDocument/2006/relationships/hyperlink" Target="http://www.biomedcentral.com/1752-0509/8/95/" TargetMode="External"/><Relationship Id="rId10" Type="http://schemas.openxmlformats.org/officeDocument/2006/relationships/hyperlink" Target="https://simtk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3</Pages>
  <Words>1291</Words>
  <Characters>7363</Characters>
  <Application>Microsoft Macintosh Word</Application>
  <DocSecurity>0</DocSecurity>
  <Lines>61</Lines>
  <Paragraphs>17</Paragraphs>
  <ScaleCrop>false</ScaleCrop>
  <Company>UCSF</Company>
  <LinksUpToDate>false</LinksUpToDate>
  <CharactersWithSpaces>8637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 Anthony Hunt</dc:creator>
  <cp:keywords/>
  <dc:description/>
  <cp:lastModifiedBy>C. Anthony Hunt</cp:lastModifiedBy>
  <cp:revision>5</cp:revision>
  <dcterms:created xsi:type="dcterms:W3CDTF">2015-10-17T21:01:00Z</dcterms:created>
  <dcterms:modified xsi:type="dcterms:W3CDTF">2015-10-19T21:23:00Z</dcterms:modified>
</cp:coreProperties>
</file>