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1"/>
        <w:numPr>
          <w:ilvl w:val="0"/>
          <w:numId w:val="1"/>
        </w:numPr>
        <w:spacing w:after="120" w:before="240"/>
      </w:pPr>
      <w:r>
        <w:rPr/>
        <w:t>Purpose</w:t>
      </w:r>
    </w:p>
    <w:p>
      <w:pPr>
        <w:pStyle w:val="style16"/>
      </w:pPr>
      <w:r>
        <w:rPr/>
        <w:t>It is well-established that some chondrocytes will assume a new hypertrophic phenotype with the onset and progression of osteoarthritis (OA).</w:t>
      </w:r>
      <w:r>
        <w:rPr>
          <w:b w:val="false"/>
          <w:i w:val="false"/>
          <w:caps w:val="false"/>
          <w:smallCaps w:val="false"/>
          <w:position w:val="6"/>
          <w:sz w:val="14"/>
          <w:u w:val="none"/>
        </w:rPr>
        <w:t>1</w:t>
      </w:r>
      <w:r>
        <w:rPr/>
        <w:t xml:space="preserve">  The biological processes of these cells have been shown to be drastically altered,</w:t>
      </w:r>
      <w:r>
        <w:rPr>
          <w:b w:val="false"/>
          <w:i w:val="false"/>
          <w:caps w:val="false"/>
          <w:smallCaps w:val="false"/>
          <w:position w:val="6"/>
          <w:sz w:val="14"/>
          <w:u w:val="none"/>
        </w:rPr>
        <w:t>2</w:t>
      </w:r>
      <w:r>
        <w:rPr/>
        <w:t xml:space="preserve"> but the mechanical effects due to simply having a larger geometry are less understood.  Whether an increased volume would be beneficial or detrimental to the cellular mechanics is not a trivial problem, given the competing factors from the solid and fluid phases.  A larger cell would behave more softly in the solid phase, but the decreased surface area to volume ratio could lead to more fluid pressurization, creating stiffer transient behavior. </w:t>
      </w:r>
    </w:p>
    <w:p>
      <w:pPr>
        <w:pStyle w:val="style16"/>
      </w:pPr>
      <w:r>
        <w:rPr/>
        <w:t>This study investigated the mechanical effects of chondrocyte hypertrophy through state-of-the-art multiscale finite element (FE) analysis.</w:t>
      </w:r>
    </w:p>
    <w:p>
      <w:pPr>
        <w:pStyle w:val="style1"/>
        <w:numPr>
          <w:ilvl w:val="0"/>
          <w:numId w:val="1"/>
        </w:numPr>
      </w:pPr>
      <w:r>
        <w:rPr/>
        <w:t>Method</w:t>
      </w:r>
    </w:p>
    <w:p>
      <w:pPr>
        <w:pStyle w:val="style16"/>
      </w:pPr>
      <w:r>
        <w:rPr/>
        <w:t>A simplified three-dimensional FE model of the medial compartment of the human knee was constructed with the cartilage, meniscus, and bone regions represented (Figure 1).  The cartilage was divided into deep, middle, and superficial zones.  The thicknesses of the deep and middle zones were 45% of the total thickness each and the remaining 10% was superficial layer cartilage.  All materials were hyperelastic and biphasic.  Cartilage and meniscus were anisotropic in both the solid and fluid phases.  Anisotropy was defined by ellipsoidal fiber distribution functions appropriate for each cartilage zone and the meniscus (Figure 2).  A 15% nominal compression of the joint space was applied over a 0.5 second time interval.  The compression was held constant for an additional 4.5 seconds, allowing the early transient phase to be explored.</w:t>
      </w:r>
    </w:p>
    <w:p>
      <w:pPr>
        <w:pStyle w:val="style16"/>
      </w:pPr>
      <w:r>
        <w:rPr/>
        <w:t>Cellular scale models were constructed of normal and hypertrophic chondrocytes, with 10 and 20 micron diameters, respectively.  These were embedded in a cube of extracellular matrix and surrounded by a 2.5 micron thick layer of pericellular matrix.  The hypertrophic cell was modeled with and without the PCM, since this often disappears in OA.  The internal fluid pressures and displacements over time calculated by the tissue scale model were interpolated to the surfaces of the cellular scale models to serve as prescribed boundary conditions.  This was done considering a cell positioned in the middle zone of femoral cartilage.  In other words, the mechanical environment of a cell located in this position was simulated.</w:t>
      </w:r>
    </w:p>
    <w:p>
      <w:pPr>
        <w:pStyle w:val="style1"/>
        <w:numPr>
          <w:ilvl w:val="0"/>
          <w:numId w:val="1"/>
        </w:numPr>
      </w:pPr>
      <w:r>
        <w:rPr/>
        <w:t>Results</w:t>
      </w:r>
    </w:p>
    <w:p>
      <w:pPr>
        <w:pStyle w:val="style16"/>
      </w:pPr>
      <w:r>
        <w:rPr/>
        <w:t xml:space="preserve">The hypertrophic cell experienced elevated deformation relative to the normal cell as indicated by the effective strain over time (Figure 3).  The effect was further amplified with the removal of the PCM.  The fluid pressurization of the cell was surprisingly not affected by the change in diameter or PCM deletion.   </w:t>
      </w:r>
    </w:p>
    <w:p>
      <w:pPr>
        <w:pStyle w:val="style1"/>
        <w:numPr>
          <w:ilvl w:val="0"/>
          <w:numId w:val="1"/>
        </w:numPr>
      </w:pPr>
      <w:r>
        <w:rPr/>
        <w:t>Conclusions</w:t>
      </w:r>
    </w:p>
    <w:p>
      <w:pPr>
        <w:pStyle w:val="style0"/>
      </w:pPr>
      <w:r>
        <w:rPr/>
        <w:t>This prelimary investigation indicates that the cell may be sacrificing mechanical integrity when assuming the hypertrophic phenotype as indicated by nearly a threefold increase in cellular deformation.  The analyses performed are most applicable to phyisological loading rates and durations, since the majority of the relaxation phase in which fluid exudation occurs was not modeled.  Indeed, no difference in cell fluid pressurization was observed between models, indicating the middle zone of cartilage had not yet begun to relax.  The cartilage permeability is known to be reduced in even early stage OA, but this was not explored.  It is possible that this reduction would result in earlier relaxation of the middle zone cartilage, where a larger cell diameter may then be advantageous for fluid support.  The methods employed here can be extended to explore this in the future.</w:t>
      </w:r>
    </w:p>
    <w:p>
      <w:pPr>
        <w:pStyle w:val="style1"/>
        <w:numPr>
          <w:ilvl w:val="0"/>
          <w:numId w:val="1"/>
        </w:numPr>
      </w:pPr>
      <w:r>
        <w:rPr/>
        <w:t>References</w:t>
      </w:r>
    </w:p>
    <w:p>
      <w:pPr>
        <w:sectPr>
          <w:type w:val="nextPage"/>
          <w:pgSz w:h="15840" w:w="12240"/>
          <w:pgMar w:bottom="1134" w:footer="0" w:gutter="0" w:header="0" w:left="1134" w:right="1134" w:top="1134"/>
          <w:pgNumType w:fmt="decimal"/>
          <w:formProt w:val="false"/>
          <w:textDirection w:val="lrTb"/>
        </w:sectPr>
      </w:pPr>
    </w:p>
    <w:p>
      <w:pPr>
        <w:pStyle w:val="style20"/>
      </w:pPr>
      <w:r>
        <w:rPr/>
        <w:t>1.</w:t>
        <w:tab/>
        <w:t xml:space="preserve">Van der Kraan, P. M. &amp; van den Berg, W. B. Chondrocyte hypertrophy and osteoarthritis: role in initiation and progression of cartilage degeneration? </w:t>
      </w:r>
      <w:r>
        <w:rPr>
          <w:i/>
          <w:iCs/>
        </w:rPr>
        <w:t>Osteoarthritis Cartilage</w:t>
      </w:r>
      <w:r>
        <w:rPr>
          <w:i w:val="false"/>
          <w:iCs w:val="false"/>
        </w:rPr>
        <w:t xml:space="preserve"> </w:t>
      </w:r>
      <w:r>
        <w:rPr>
          <w:b/>
          <w:bCs/>
          <w:i w:val="false"/>
          <w:iCs w:val="false"/>
        </w:rPr>
        <w:t>20,</w:t>
      </w:r>
      <w:r>
        <w:rPr>
          <w:b w:val="false"/>
          <w:bCs w:val="false"/>
          <w:i w:val="false"/>
          <w:iCs w:val="false"/>
        </w:rPr>
        <w:t xml:space="preserve"> 223–232 (2012).</w:t>
      </w:r>
    </w:p>
    <w:p>
      <w:pPr>
        <w:pStyle w:val="style20"/>
      </w:pPr>
      <w:r>
        <w:rPr>
          <w:b w:val="false"/>
          <w:bCs w:val="false"/>
          <w:i w:val="false"/>
          <w:iCs w:val="false"/>
        </w:rPr>
        <w:t>2.</w:t>
        <w:tab/>
        <w:t xml:space="preserve">Dreier, R. Hypertrophic differentiation of chondrocytes in osteoarthritis: the developmental aspect of degenerative joint disorders. </w:t>
      </w:r>
      <w:r>
        <w:rPr>
          <w:b w:val="false"/>
          <w:bCs w:val="false"/>
          <w:i/>
          <w:iCs/>
        </w:rPr>
        <w:t>Arthritis Res. Ther.</w:t>
      </w:r>
      <w:r>
        <w:rPr>
          <w:b w:val="false"/>
          <w:bCs w:val="false"/>
          <w:i w:val="false"/>
          <w:iCs w:val="false"/>
        </w:rPr>
        <w:t xml:space="preserve"> </w:t>
      </w:r>
      <w:r>
        <w:rPr>
          <w:b/>
          <w:bCs/>
          <w:i w:val="false"/>
          <w:iCs w:val="false"/>
        </w:rPr>
        <w:t>12,</w:t>
      </w:r>
      <w:r>
        <w:rPr>
          <w:b w:val="false"/>
          <w:bCs w:val="false"/>
          <w:i w:val="false"/>
          <w:iCs w:val="false"/>
        </w:rPr>
        <w:t xml:space="preserve"> 216 (2010).</w:t>
      </w:r>
    </w:p>
    <w:p>
      <w:pPr>
        <w:sectPr>
          <w:type w:val="continuous"/>
          <w:pgSz w:h="15840" w:w="12240"/>
          <w:pgMar w:bottom="1134" w:footer="0" w:gutter="0" w:header="0" w:left="1134" w:right="1134" w:top="1134"/>
          <w:formProt w:val="false"/>
          <w:textDirection w:val="lrTb"/>
        </w:sectPr>
      </w:pPr>
    </w:p>
    <w:p>
      <w:pPr>
        <w:pStyle w:val="style16"/>
        <w:spacing w:after="120" w:before="0"/>
      </w:pPr>
      <w:r>
        <w:rPr/>
        <w:t xml:space="preserve"> </w:t>
      </w:r>
    </w:p>
    <w:sectPr>
      <w:type w:val="continuous"/>
      <w:pgSz w:h="15840" w:w="12240"/>
      <w:pgMar w:bottom="1134" w:footer="0" w:gutter="0" w:header="0" w:left="1134" w:right="1134" w:top="1134"/>
      <w:pgNumType w:fmt="decimal"/>
      <w:formProt w:val="false"/>
      <w:textDirection w:val="lrTb"/>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numbering.xml><?xml version="1.0" encoding="utf-8"?>
<w:numbering xmlns:w="http://schemas.openxmlformats.org/wordprocessingml/2006/main">
  <w:abstractNum w:abstractNumId="1">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bering>
</file>

<file path=word/styles.xml><?xml version="1.0" encoding="utf-8"?>
<w:styles xmlns:w="http://schemas.openxmlformats.org/wordprocessingml/2006/main">
  <w:style w:styleId="style0" w:type="paragraph">
    <w:name w:val="Normal"/>
    <w:next w:val="style0"/>
    <w:pPr>
      <w:widowControl w:val="false"/>
      <w:tabs>
        <w:tab w:leader="none" w:pos="709" w:val="left"/>
      </w:tabs>
      <w:suppressAutoHyphens w:val="true"/>
    </w:pPr>
    <w:rPr>
      <w:rFonts w:ascii="Times New Roman" w:cs="Lohit Hindi" w:eastAsia="Droid Sans" w:hAnsi="Times New Roman"/>
      <w:color w:val="auto"/>
      <w:sz w:val="24"/>
      <w:szCs w:val="24"/>
      <w:lang w:bidi="hi-IN" w:eastAsia="zh-CN" w:val="en-CA"/>
    </w:rPr>
  </w:style>
  <w:style w:styleId="style1" w:type="paragraph">
    <w:name w:val="Heading 1"/>
    <w:basedOn w:val="style15"/>
    <w:next w:val="style16"/>
    <w:pPr>
      <w:numPr>
        <w:ilvl w:val="0"/>
        <w:numId w:val="1"/>
      </w:numPr>
      <w:outlineLvl w:val="0"/>
    </w:pPr>
    <w:rPr>
      <w:b/>
      <w:bCs/>
      <w:sz w:val="32"/>
      <w:szCs w:val="32"/>
    </w:rPr>
  </w:style>
  <w:style w:styleId="style15" w:type="paragraph">
    <w:name w:val="Heading"/>
    <w:basedOn w:val="style0"/>
    <w:next w:val="style16"/>
    <w:pPr>
      <w:keepNext/>
      <w:spacing w:after="120" w:before="240"/>
    </w:pPr>
    <w:rPr>
      <w:rFonts w:ascii="Arial" w:cs="Lohit Hindi" w:eastAsia="Droid Sans" w:hAnsi="Arial"/>
      <w:sz w:val="28"/>
      <w:szCs w:val="28"/>
    </w:rPr>
  </w:style>
  <w:style w:styleId="style16" w:type="paragraph">
    <w:name w:val="Text body"/>
    <w:basedOn w:val="style0"/>
    <w:next w:val="style16"/>
    <w:pPr>
      <w:spacing w:after="120" w:before="0"/>
    </w:pPr>
    <w:rPr/>
  </w:style>
  <w:style w:styleId="style17" w:type="paragraph">
    <w:name w:val="List"/>
    <w:basedOn w:val="style16"/>
    <w:next w:val="style17"/>
    <w:pPr/>
    <w:rPr>
      <w:rFonts w:cs="Lohit Hindi"/>
    </w:rPr>
  </w:style>
  <w:style w:styleId="style18" w:type="paragraph">
    <w:name w:val="Caption"/>
    <w:basedOn w:val="style0"/>
    <w:next w:val="style18"/>
    <w:pPr>
      <w:suppressLineNumbers/>
      <w:spacing w:after="120" w:before="120"/>
    </w:pPr>
    <w:rPr>
      <w:rFonts w:cs="Lohit Hindi"/>
      <w:i/>
      <w:iCs/>
      <w:sz w:val="24"/>
      <w:szCs w:val="24"/>
    </w:rPr>
  </w:style>
  <w:style w:styleId="style19" w:type="paragraph">
    <w:name w:val="Index"/>
    <w:basedOn w:val="style0"/>
    <w:next w:val="style19"/>
    <w:pPr>
      <w:suppressLineNumbers/>
    </w:pPr>
    <w:rPr>
      <w:rFonts w:cs="Lohit Hindi"/>
    </w:rPr>
  </w:style>
  <w:style w:styleId="style20" w:type="paragraph">
    <w:name w:val="Bibliography 1"/>
    <w:basedOn w:val="style19"/>
    <w:next w:val="style20"/>
    <w:pPr>
      <w:tabs>
        <w:tab w:leader="none" w:pos="528" w:val="left"/>
      </w:tabs>
      <w:spacing w:after="0" w:before="0" w:line="240" w:lineRule="atLeast"/>
      <w:ind w:hanging="264" w:left="264" w:right="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otalTime>86499</TotalTime>
  <Application>LibreOffice/3.5$Linux_X86_64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2013-11-30T17:10:09.00Z</dcterms:created>
  <dc:creator>Scott Sibole</dc:creator>
  <cp:lastModifiedBy>Scott Sibole</cp:lastModifiedBy>
  <dcterms:modified xsi:type="dcterms:W3CDTF">2013-12-01T17:28:03.00Z</dcterms:modified>
  <cp:revision>25</cp:revision>
</cp:coreProperties>
</file>