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0B3F" w:rsidRDefault="00B65D55" w:rsidP="00062B82">
      <w:pPr>
        <w:rPr>
          <w:rFonts w:cstheme="minorHAnsi"/>
          <w:color w:val="212121"/>
        </w:rPr>
      </w:pPr>
      <w:r w:rsidRPr="00AC7A52">
        <w:rPr>
          <w:rFonts w:cstheme="minorHAnsi"/>
          <w:color w:val="212121"/>
          <w:shd w:val="clear" w:color="auto" w:fill="FFFFFF"/>
        </w:rPr>
        <w:t xml:space="preserve">Response to reviewers: Response recorded in blue. </w:t>
      </w:r>
      <w:r w:rsidRPr="00AC7A52">
        <w:rPr>
          <w:rFonts w:cstheme="minorHAnsi"/>
          <w:color w:val="212121"/>
        </w:rPr>
        <w:br/>
      </w:r>
    </w:p>
    <w:p w:rsidR="00D90B3F" w:rsidRDefault="00D90B3F" w:rsidP="00062B82">
      <w:pPr>
        <w:rPr>
          <w:rFonts w:cstheme="minorHAnsi"/>
          <w:color w:val="212121"/>
        </w:rPr>
      </w:pPr>
      <w:r>
        <w:rPr>
          <w:rFonts w:cstheme="minorHAnsi"/>
          <w:color w:val="212121"/>
        </w:rPr>
        <w:t>Editorial Board:</w:t>
      </w:r>
    </w:p>
    <w:p w:rsidR="00D90B3F" w:rsidRDefault="00D90B3F" w:rsidP="00062B82">
      <w:pPr>
        <w:rPr>
          <w:rFonts w:ascii="Calibri" w:hAnsi="Calibri" w:cs="Calibri"/>
          <w:color w:val="212121"/>
          <w:shd w:val="clear" w:color="auto" w:fill="FFFFFF"/>
        </w:rPr>
      </w:pPr>
      <w:r>
        <w:rPr>
          <w:rFonts w:ascii="Calibri" w:hAnsi="Calibri" w:cs="Calibri"/>
          <w:color w:val="212121"/>
          <w:shd w:val="clear" w:color="auto" w:fill="FFFFFF"/>
        </w:rPr>
        <w:t>We would encourage you to consider submitting the revisions of this manuscript and SDATA-19-00492 at the same time. In the Background &amp; Summary section of each, please cite and briefly outline the other paper. Please also upload in each case a copy of the other related paper as a supplementary file. If both are accepted for publication, we will endeavor to publish them side-by-side.</w:t>
      </w:r>
    </w:p>
    <w:p w:rsidR="00F1481E" w:rsidRDefault="00F1481E" w:rsidP="00F1481E">
      <w:pPr>
        <w:pStyle w:val="Standard"/>
        <w:rPr>
          <w:color w:val="5B9BD5" w:themeColor="accent1"/>
        </w:rPr>
      </w:pPr>
      <w:r>
        <w:rPr>
          <w:color w:val="5B9BD5" w:themeColor="accent1"/>
        </w:rPr>
        <w:t xml:space="preserve">As suggested, we have added a description of the previous study in the background section and will also provide a copy of the paper </w:t>
      </w:r>
      <w:r w:rsidR="007A5DE1">
        <w:rPr>
          <w:color w:val="5B9BD5" w:themeColor="accent1"/>
        </w:rPr>
        <w:t xml:space="preserve">with the revision. </w:t>
      </w:r>
      <w:r>
        <w:rPr>
          <w:color w:val="5B9BD5" w:themeColor="accent1"/>
        </w:rPr>
        <w:t xml:space="preserve"> </w:t>
      </w:r>
    </w:p>
    <w:p w:rsidR="00F1481E" w:rsidRDefault="00F1481E" w:rsidP="00F1481E">
      <w:pPr>
        <w:pStyle w:val="Standard"/>
        <w:rPr>
          <w:color w:val="5B9BD5" w:themeColor="accent1"/>
        </w:rPr>
      </w:pPr>
    </w:p>
    <w:p w:rsidR="00F1481E" w:rsidRDefault="00F1481E" w:rsidP="00F1481E">
      <w:pPr>
        <w:pStyle w:val="Standard"/>
        <w:rPr>
          <w:i/>
          <w:color w:val="5B9BD5" w:themeColor="accent1"/>
        </w:rPr>
      </w:pPr>
      <w:r w:rsidRPr="00F1481E">
        <w:rPr>
          <w:i/>
          <w:color w:val="5B9BD5" w:themeColor="accent1"/>
        </w:rPr>
        <w:t>“A related, but separate study using the same cadaveric donors was conducted prior to collection</w:t>
      </w:r>
      <w:r w:rsidR="00CC16E3">
        <w:rPr>
          <w:i/>
          <w:color w:val="5B9BD5" w:themeColor="accent1"/>
        </w:rPr>
        <w:t xml:space="preserve"> of this dataset</w:t>
      </w:r>
      <w:bookmarkStart w:id="0" w:name="_GoBack"/>
      <w:bookmarkEnd w:id="0"/>
      <w:r w:rsidRPr="00F1481E">
        <w:rPr>
          <w:i/>
          <w:color w:val="5B9BD5" w:themeColor="accent1"/>
        </w:rPr>
        <w:fldChar w:fldCharType="begin"/>
      </w:r>
      <w:r w:rsidRPr="00F1481E">
        <w:rPr>
          <w:i/>
          <w:color w:val="5B9BD5" w:themeColor="accent1"/>
        </w:rPr>
        <w:instrText xml:space="preserve"> ADDIN ZOTERO_ITEM CSL_CITATION {"citationID":"NiNiOusR","properties":{"formattedCitation":"\\super 20,21\\nosupersub{}","plainCitation":"20,21","noteIndex":0},"citationItems":[{"id":980,"uris":["http://zotero.org/users/3614981/items/ZGLG5IHF"],"uri":["http://zotero.org/users/3614981/items/ZGLG5IHF"],"itemData":{"id":980,"type":"webpage","title":"SimTK","container-title":"In Vitro Reference Models for Multi-Layer Tissue Structures (MULTIS)","URL":"https://doi.org/10.18735/JHE9-JH38","author":[{"family":"Erdemir","given":"Ahmet"},{"family":"Schimmoeller","given":"Tyler"}],"issued":{"date-parts":[["2019"]]}}},{"id":922,"uris":["http://zotero.org/users/3614981/items/V3CTTNGA"],"uri":["http://zotero.org/users/3614981/items/V3CTTNGA"],"itemData":{"id":922,"type":"article-journal","title":"Reference data on in vitro anatomy and mechanics of tissue layers of musculoskeletal extremities","journalAbbreviation":"Sci Data","author":[{"family":"Schimmoeller","given":"Tyler"},{"family":"Neumann","given":"Erica E."},{"family":"Owings","given":"Tammy M."},{"family":"Nagle","given":"Tara F."},{"family":"Colbrunn","given":"Robb W."},{"family":"Jelovsek","given":"J. Eric"},{"family":"Hing","given":"Tod"},{"family":"Ku","given":"Joy P."},{"family":"Erdemir","given":"Ahmet"}],"issued":{"literal":"In Review"}}}],"schema":"https://github.com/citation-style-language/schema/raw/master/csl-citation.json"} </w:instrText>
      </w:r>
      <w:r w:rsidRPr="00F1481E">
        <w:rPr>
          <w:i/>
          <w:color w:val="5B9BD5" w:themeColor="accent1"/>
        </w:rPr>
        <w:fldChar w:fldCharType="separate"/>
      </w:r>
      <w:r w:rsidRPr="00F1481E">
        <w:rPr>
          <w:i/>
          <w:color w:val="5B9BD5" w:themeColor="accent1"/>
          <w:szCs w:val="24"/>
          <w:vertAlign w:val="superscript"/>
        </w:rPr>
        <w:t>20,21</w:t>
      </w:r>
      <w:r w:rsidRPr="00F1481E">
        <w:rPr>
          <w:i/>
          <w:color w:val="5B9BD5" w:themeColor="accent1"/>
        </w:rPr>
        <w:fldChar w:fldCharType="end"/>
      </w:r>
      <w:r w:rsidRPr="00F1481E">
        <w:rPr>
          <w:i/>
          <w:color w:val="5B9BD5" w:themeColor="accent1"/>
        </w:rPr>
        <w:t xml:space="preserve">. The anatomical features of 9 cadaveric arms and legs were captured with computed tomography (CT), magnetic resonance (MR) and ultrasound imaging. Using the instrumented ultrasound, indentation response was captured in each of the anterior and posterior central regions of the upper and lower segments of the specimen (total of 8 sites from each donor). These data may be used in conjunction with the data presented in this study for a more complete description of the anatomical features for each cadaveric leg specimen.” </w:t>
      </w:r>
    </w:p>
    <w:p w:rsidR="00F1481E" w:rsidRPr="00F1481E" w:rsidRDefault="00F1481E" w:rsidP="00F1481E">
      <w:pPr>
        <w:pStyle w:val="Standard"/>
        <w:rPr>
          <w:bCs/>
          <w:i/>
          <w:color w:val="5B9BD5" w:themeColor="accent1"/>
          <w:sz w:val="26"/>
          <w:szCs w:val="26"/>
        </w:rPr>
      </w:pPr>
    </w:p>
    <w:p w:rsidR="00D90B3F" w:rsidRDefault="00D90B3F" w:rsidP="00062B82">
      <w:pPr>
        <w:rPr>
          <w:rFonts w:cstheme="minorHAnsi"/>
          <w:color w:val="212121"/>
        </w:rPr>
      </w:pPr>
      <w:r>
        <w:rPr>
          <w:rFonts w:cstheme="minorHAnsi"/>
          <w:color w:val="212121"/>
        </w:rPr>
        <w:t xml:space="preserve">Reviewer #1: </w:t>
      </w:r>
    </w:p>
    <w:p w:rsidR="00D90B3F" w:rsidRPr="00D90B3F" w:rsidRDefault="00D90B3F" w:rsidP="00062B82">
      <w:pPr>
        <w:rPr>
          <w:rFonts w:ascii="Calibri" w:hAnsi="Calibri" w:cs="Calibri"/>
          <w:color w:val="212121"/>
          <w:shd w:val="clear" w:color="auto" w:fill="FFFFFF"/>
        </w:rPr>
      </w:pPr>
      <w:r w:rsidRPr="00D90B3F">
        <w:rPr>
          <w:rFonts w:ascii="Calibri" w:hAnsi="Calibri" w:cs="Calibri"/>
          <w:color w:val="212121"/>
          <w:shd w:val="clear" w:color="auto" w:fill="FFFFFF"/>
        </w:rPr>
        <w:t>The authors need some explanation how the motion tracked is related to the force. It is hard for this reviewer to get the benefits to track the motion</w:t>
      </w:r>
    </w:p>
    <w:p w:rsidR="00D90B3F" w:rsidRPr="00062B82" w:rsidRDefault="00062B82" w:rsidP="00062B82">
      <w:pPr>
        <w:pStyle w:val="ListParagraph"/>
        <w:ind w:left="0"/>
        <w:rPr>
          <w:rFonts w:ascii="Calibri" w:hAnsi="Calibri" w:cs="Calibri"/>
          <w:color w:val="5B9BD5" w:themeColor="accent1"/>
          <w:shd w:val="clear" w:color="auto" w:fill="FFFFFF"/>
        </w:rPr>
      </w:pPr>
      <w:r w:rsidRPr="00062B82">
        <w:rPr>
          <w:rFonts w:ascii="Calibri" w:hAnsi="Calibri" w:cs="Calibri"/>
          <w:color w:val="5B9BD5" w:themeColor="accent1"/>
          <w:shd w:val="clear" w:color="auto" w:fill="FFFFFF"/>
        </w:rPr>
        <w:t xml:space="preserve">We have clarified the use of the motion tracking data that was collected in the summary/background section (paragraph 2). </w:t>
      </w:r>
    </w:p>
    <w:p w:rsidR="00062B82" w:rsidRPr="00062B82" w:rsidRDefault="00062B82" w:rsidP="00062B82">
      <w:pPr>
        <w:pStyle w:val="ListParagraph"/>
        <w:ind w:left="0"/>
        <w:rPr>
          <w:rFonts w:ascii="Calibri" w:hAnsi="Calibri" w:cs="Calibri"/>
          <w:color w:val="5B9BD5" w:themeColor="accent1"/>
          <w:shd w:val="clear" w:color="auto" w:fill="FFFFFF"/>
        </w:rPr>
      </w:pPr>
    </w:p>
    <w:p w:rsidR="00D90B3F" w:rsidRDefault="00062B82" w:rsidP="00062B82">
      <w:pPr>
        <w:pStyle w:val="ListParagraph"/>
        <w:ind w:left="0"/>
        <w:rPr>
          <w:rFonts w:cstheme="minorHAnsi"/>
          <w:bCs/>
          <w:i/>
          <w:color w:val="5B9BD5" w:themeColor="accent1"/>
        </w:rPr>
      </w:pPr>
      <w:r w:rsidRPr="00062B82">
        <w:rPr>
          <w:rFonts w:cstheme="minorHAnsi"/>
          <w:bCs/>
          <w:i/>
          <w:color w:val="5B9BD5" w:themeColor="accent1"/>
        </w:rPr>
        <w:t>“The motion of each surgical tool, in relation to the specimen, creates a complete description of the tool environment, allowing for surgical simulation validation.”</w:t>
      </w:r>
    </w:p>
    <w:p w:rsidR="00A9393C" w:rsidRDefault="00A9393C" w:rsidP="00062B82">
      <w:pPr>
        <w:pStyle w:val="ListParagraph"/>
        <w:ind w:left="0"/>
        <w:rPr>
          <w:rFonts w:cstheme="minorHAnsi"/>
          <w:bCs/>
          <w:i/>
          <w:color w:val="5B9BD5" w:themeColor="accent1"/>
        </w:rPr>
      </w:pPr>
    </w:p>
    <w:p w:rsidR="00A9393C" w:rsidRPr="00A9393C" w:rsidRDefault="00A9393C" w:rsidP="00062B82">
      <w:pPr>
        <w:pStyle w:val="ListParagraph"/>
        <w:ind w:left="0"/>
        <w:rPr>
          <w:rFonts w:cstheme="minorHAnsi"/>
          <w:color w:val="5B9BD5" w:themeColor="accent1"/>
          <w:shd w:val="clear" w:color="auto" w:fill="FFFFFF"/>
        </w:rPr>
      </w:pPr>
      <w:r>
        <w:rPr>
          <w:rFonts w:cstheme="minorHAnsi"/>
          <w:bCs/>
          <w:color w:val="5B9BD5" w:themeColor="accent1"/>
        </w:rPr>
        <w:t xml:space="preserve">Additional detail of the coordinate systems (force and motion) </w:t>
      </w:r>
      <w:r w:rsidR="00F24921">
        <w:rPr>
          <w:rFonts w:cstheme="minorHAnsi"/>
          <w:bCs/>
          <w:color w:val="5B9BD5" w:themeColor="accent1"/>
        </w:rPr>
        <w:t>has been</w:t>
      </w:r>
      <w:r>
        <w:rPr>
          <w:rFonts w:cstheme="minorHAnsi"/>
          <w:bCs/>
          <w:color w:val="5B9BD5" w:themeColor="accent1"/>
        </w:rPr>
        <w:t xml:space="preserve"> added to the methods section (see next response for details). </w:t>
      </w:r>
    </w:p>
    <w:p w:rsidR="00D90B3F" w:rsidRDefault="00D90B3F" w:rsidP="00062B82">
      <w:pPr>
        <w:rPr>
          <w:rFonts w:ascii="Calibri" w:hAnsi="Calibri" w:cs="Calibri"/>
          <w:color w:val="212121"/>
          <w:shd w:val="clear" w:color="auto" w:fill="FFFFFF"/>
        </w:rPr>
      </w:pPr>
      <w:r w:rsidRPr="00D90B3F">
        <w:rPr>
          <w:rFonts w:ascii="Calibri" w:hAnsi="Calibri" w:cs="Calibri"/>
          <w:color w:val="212121"/>
          <w:shd w:val="clear" w:color="auto" w:fill="FFFFFF"/>
        </w:rPr>
        <w:t>Is there any special setting in Figure 1? It is better to put the surgical tools in this figure to show how the force measurement should look like.</w:t>
      </w:r>
    </w:p>
    <w:p w:rsidR="00A9393C" w:rsidRPr="00A9393C" w:rsidRDefault="00A9393C" w:rsidP="00062B82">
      <w:pPr>
        <w:rPr>
          <w:rFonts w:ascii="Calibri" w:hAnsi="Calibri" w:cs="Calibri"/>
          <w:color w:val="5B9BD5" w:themeColor="accent1"/>
          <w:shd w:val="clear" w:color="auto" w:fill="FFFFFF"/>
        </w:rPr>
      </w:pPr>
      <w:r>
        <w:rPr>
          <w:rFonts w:ascii="Calibri" w:hAnsi="Calibri" w:cs="Calibri"/>
          <w:color w:val="5B9BD5" w:themeColor="accent1"/>
          <w:shd w:val="clear" w:color="auto" w:fill="FFFFFF"/>
        </w:rPr>
        <w:t xml:space="preserve">Figure 1 is important to describe not only the setup of the specimen, but also the coordinate system defined for the femur. We have included each of the surgical tools and their respective coordinate systems in Figure 2 already and added further explanation of these coordinate system relationships in the methods section (Experimental Methods and Data Acquisition System). </w:t>
      </w:r>
    </w:p>
    <w:p w:rsidR="00D90B3F" w:rsidRDefault="00A9393C" w:rsidP="00062B82">
      <w:pPr>
        <w:rPr>
          <w:i/>
          <w:color w:val="5B9BD5" w:themeColor="accent1"/>
        </w:rPr>
      </w:pPr>
      <w:r>
        <w:rPr>
          <w:i/>
          <w:color w:val="5B9BD5" w:themeColor="accent1"/>
        </w:rPr>
        <w:t>“</w:t>
      </w:r>
      <w:r w:rsidRPr="00A9393C">
        <w:rPr>
          <w:i/>
          <w:color w:val="5B9BD5" w:themeColor="accent1"/>
        </w:rPr>
        <w:t>Raw sensor data from both the load cells and motion tracking smart LEDs were stored, in addition to transformed data. Load data was transformed to each respective tool tip coordinate system (Fig. 2) and motion data was transformed to describe the position of the tool tip origin with respect to the femur coordinate system (defined in Fig. 1).</w:t>
      </w:r>
      <w:r>
        <w:rPr>
          <w:i/>
          <w:color w:val="5B9BD5" w:themeColor="accent1"/>
        </w:rPr>
        <w:t>”</w:t>
      </w:r>
    </w:p>
    <w:p w:rsidR="000E5765" w:rsidRDefault="000E5765" w:rsidP="00062B82">
      <w:pPr>
        <w:rPr>
          <w:color w:val="5B9BD5" w:themeColor="accent1"/>
        </w:rPr>
      </w:pPr>
      <w:r>
        <w:rPr>
          <w:color w:val="5B9BD5" w:themeColor="accent1"/>
        </w:rPr>
        <w:lastRenderedPageBreak/>
        <w:t xml:space="preserve">We have also added clarification to the example data quality plot that we provide in Figure 5 (described in the Data Records section. </w:t>
      </w:r>
    </w:p>
    <w:p w:rsidR="000E5765" w:rsidRPr="000E5765" w:rsidRDefault="000E5765" w:rsidP="00062B82">
      <w:pPr>
        <w:rPr>
          <w:rFonts w:cstheme="minorHAnsi"/>
          <w:color w:val="5B9BD5" w:themeColor="accent1"/>
          <w:shd w:val="clear" w:color="auto" w:fill="FFFFFF"/>
        </w:rPr>
      </w:pPr>
      <w:r>
        <w:rPr>
          <w:rFonts w:cstheme="minorHAnsi"/>
          <w:color w:val="5B9BD5" w:themeColor="accent1"/>
        </w:rPr>
        <w:t>“</w:t>
      </w:r>
      <w:r w:rsidRPr="000E5765">
        <w:rPr>
          <w:rFonts w:cstheme="minorHAnsi"/>
          <w:color w:val="5B9BD5" w:themeColor="accent1"/>
        </w:rPr>
        <w:t xml:space="preserve">The Optotrak motion is shown in the femur coordinate system </w:t>
      </w:r>
      <w:r w:rsidRPr="000E5765">
        <w:rPr>
          <w:rFonts w:cstheme="minorHAnsi"/>
          <w:i/>
          <w:color w:val="5B9BD5" w:themeColor="accent1"/>
        </w:rPr>
        <w:t>(shown in Fig. 1)</w:t>
      </w:r>
      <w:r w:rsidRPr="000E5765">
        <w:rPr>
          <w:rFonts w:cstheme="minorHAnsi"/>
          <w:color w:val="5B9BD5" w:themeColor="accent1"/>
        </w:rPr>
        <w:t xml:space="preserve"> and the tool load data is shown as the loads at the tool tip origin </w:t>
      </w:r>
      <w:r w:rsidRPr="000E5765">
        <w:rPr>
          <w:rFonts w:cstheme="minorHAnsi"/>
          <w:i/>
          <w:color w:val="5B9BD5" w:themeColor="accent1"/>
        </w:rPr>
        <w:t xml:space="preserve">(shown in Fig. 2), </w:t>
      </w:r>
      <w:r w:rsidRPr="000E5765">
        <w:rPr>
          <w:rFonts w:cstheme="minorHAnsi"/>
          <w:color w:val="5B9BD5" w:themeColor="accent1"/>
        </w:rPr>
        <w:t>oriented to match the femur coordinate system.</w:t>
      </w:r>
      <w:r>
        <w:rPr>
          <w:rFonts w:cstheme="minorHAnsi"/>
          <w:color w:val="5B9BD5" w:themeColor="accent1"/>
        </w:rPr>
        <w:t>”</w:t>
      </w:r>
    </w:p>
    <w:p w:rsidR="00D90B3F" w:rsidRDefault="00D90B3F" w:rsidP="00062B82">
      <w:pPr>
        <w:rPr>
          <w:rFonts w:ascii="Calibri" w:hAnsi="Calibri" w:cs="Calibri"/>
          <w:color w:val="212121"/>
          <w:shd w:val="clear" w:color="auto" w:fill="FFFFFF"/>
        </w:rPr>
      </w:pPr>
      <w:r>
        <w:rPr>
          <w:rFonts w:ascii="Calibri" w:hAnsi="Calibri" w:cs="Calibri"/>
          <w:color w:val="212121"/>
          <w:shd w:val="clear" w:color="auto" w:fill="FFFFFF"/>
        </w:rPr>
        <w:t>Reviewer #2:</w:t>
      </w:r>
    </w:p>
    <w:p w:rsidR="00D90B3F" w:rsidRDefault="00D90B3F" w:rsidP="00062B82">
      <w:pPr>
        <w:rPr>
          <w:rFonts w:ascii="Calibri" w:hAnsi="Calibri" w:cs="Calibri"/>
          <w:color w:val="212121"/>
          <w:shd w:val="clear" w:color="auto" w:fill="FFFFFF"/>
        </w:rPr>
      </w:pPr>
      <w:r>
        <w:rPr>
          <w:rFonts w:ascii="Calibri" w:hAnsi="Calibri" w:cs="Calibri"/>
          <w:color w:val="212121"/>
          <w:shd w:val="clear" w:color="auto" w:fill="FFFFFF"/>
        </w:rPr>
        <w:t>The data is produced in a methodologically sound manner, utilizing multiple sensing and imaging methods to comprehensively measure the soft tissue mechanics. The technical validation is sound although the data descriptor would benefit from additional information about the load cell data such as the error, drift or the filtering used (if any).</w:t>
      </w:r>
    </w:p>
    <w:p w:rsidR="00D90B3F" w:rsidRDefault="00D90B3F" w:rsidP="00062B82">
      <w:pPr>
        <w:rPr>
          <w:rFonts w:ascii="Calibri" w:hAnsi="Calibri" w:cs="Calibri"/>
          <w:color w:val="212121"/>
          <w:shd w:val="clear" w:color="auto" w:fill="FFFFFF"/>
        </w:rPr>
      </w:pPr>
      <w:r>
        <w:rPr>
          <w:rFonts w:ascii="Calibri" w:hAnsi="Calibri" w:cs="Calibri"/>
          <w:color w:val="212121"/>
          <w:shd w:val="clear" w:color="auto" w:fill="FFFFFF"/>
        </w:rPr>
        <w:t>The methods are described sufficiently for reproduction and there is enough information to allow reuse of the data. The source code is provided in the SimTK repository which is publicly accessible.</w:t>
      </w:r>
      <w:r>
        <w:rPr>
          <w:rFonts w:ascii="Calibri" w:hAnsi="Calibri" w:cs="Calibri"/>
          <w:color w:val="212121"/>
        </w:rPr>
        <w:br/>
      </w:r>
      <w:r>
        <w:rPr>
          <w:rFonts w:ascii="Calibri" w:hAnsi="Calibri" w:cs="Calibri"/>
          <w:color w:val="212121"/>
          <w:shd w:val="clear" w:color="auto" w:fill="FFFFFF"/>
        </w:rPr>
        <w:t>The data appears complete, matching the descriptor and is deposited in the SimTK repository.</w:t>
      </w:r>
    </w:p>
    <w:p w:rsidR="007D1E81" w:rsidRPr="00D778A2" w:rsidRDefault="00D778A2" w:rsidP="00062B82">
      <w:pPr>
        <w:rPr>
          <w:rFonts w:ascii="Calibri" w:hAnsi="Calibri" w:cs="Calibri"/>
          <w:color w:val="5B9BD5" w:themeColor="accent1"/>
          <w:shd w:val="clear" w:color="auto" w:fill="FFFFFF"/>
        </w:rPr>
      </w:pPr>
      <w:r w:rsidRPr="00D778A2">
        <w:rPr>
          <w:rFonts w:ascii="Calibri" w:hAnsi="Calibri" w:cs="Calibri"/>
          <w:color w:val="5B9BD5" w:themeColor="accent1"/>
          <w:shd w:val="clear" w:color="auto" w:fill="FFFFFF"/>
        </w:rPr>
        <w:t xml:space="preserve">We have added the load cell resolution to the methods section. In addition, we highlight that filtering was not used for the load signal. </w:t>
      </w:r>
    </w:p>
    <w:p w:rsidR="00D778A2" w:rsidRPr="00D778A2" w:rsidRDefault="00D778A2" w:rsidP="00062B82">
      <w:pPr>
        <w:rPr>
          <w:rFonts w:ascii="Calibri" w:hAnsi="Calibri" w:cs="Calibri"/>
          <w:color w:val="5B9BD5" w:themeColor="accent1"/>
          <w:shd w:val="clear" w:color="auto" w:fill="FFFFFF"/>
        </w:rPr>
      </w:pPr>
      <w:r>
        <w:rPr>
          <w:color w:val="5B9BD5" w:themeColor="accent1"/>
        </w:rPr>
        <w:t>“</w:t>
      </w:r>
      <w:r w:rsidRPr="00D778A2">
        <w:rPr>
          <w:color w:val="5B9BD5" w:themeColor="accent1"/>
        </w:rPr>
        <w:t xml:space="preserve">The load cells were all connected to the multi-sensor interface box (9105-IFPSMC Box, ATI Industrial Automation, Apex, NC) with an SI 250 N calibration </w:t>
      </w:r>
      <w:r w:rsidRPr="00D778A2">
        <w:rPr>
          <w:i/>
          <w:color w:val="5B9BD5" w:themeColor="accent1"/>
        </w:rPr>
        <w:t>(Resolution: F</w:t>
      </w:r>
      <w:r w:rsidRPr="00D778A2">
        <w:rPr>
          <w:i/>
          <w:color w:val="5B9BD5" w:themeColor="accent1"/>
          <w:vertAlign w:val="subscript"/>
        </w:rPr>
        <w:t>x</w:t>
      </w:r>
      <w:r w:rsidRPr="00D778A2">
        <w:rPr>
          <w:i/>
          <w:color w:val="5B9BD5" w:themeColor="accent1"/>
        </w:rPr>
        <w:t>, F</w:t>
      </w:r>
      <w:r w:rsidRPr="00D778A2">
        <w:rPr>
          <w:i/>
          <w:color w:val="5B9BD5" w:themeColor="accent1"/>
          <w:vertAlign w:val="subscript"/>
        </w:rPr>
        <w:t>y</w:t>
      </w:r>
      <w:r w:rsidRPr="00D778A2">
        <w:rPr>
          <w:i/>
          <w:color w:val="5B9BD5" w:themeColor="accent1"/>
        </w:rPr>
        <w:t xml:space="preserve"> = 1/24 N, F</w:t>
      </w:r>
      <w:r w:rsidRPr="00D778A2">
        <w:rPr>
          <w:i/>
          <w:color w:val="5B9BD5" w:themeColor="accent1"/>
          <w:vertAlign w:val="subscript"/>
        </w:rPr>
        <w:t>z</w:t>
      </w:r>
      <w:r w:rsidRPr="00D778A2">
        <w:rPr>
          <w:i/>
          <w:color w:val="5B9BD5" w:themeColor="accent1"/>
        </w:rPr>
        <w:t xml:space="preserve"> = 1/8 N, T</w:t>
      </w:r>
      <w:r w:rsidRPr="00D778A2">
        <w:rPr>
          <w:i/>
          <w:color w:val="5B9BD5" w:themeColor="accent1"/>
          <w:vertAlign w:val="subscript"/>
        </w:rPr>
        <w:t>x</w:t>
      </w:r>
      <w:r w:rsidRPr="00D778A2">
        <w:rPr>
          <w:i/>
          <w:color w:val="5B9BD5" w:themeColor="accent1"/>
        </w:rPr>
        <w:t>, T</w:t>
      </w:r>
      <w:r w:rsidRPr="00D778A2">
        <w:rPr>
          <w:i/>
          <w:color w:val="5B9BD5" w:themeColor="accent1"/>
          <w:vertAlign w:val="subscript"/>
        </w:rPr>
        <w:t>y</w:t>
      </w:r>
      <w:r w:rsidRPr="00D778A2">
        <w:rPr>
          <w:i/>
          <w:color w:val="5B9BD5" w:themeColor="accent1"/>
        </w:rPr>
        <w:t xml:space="preserve"> = 1/660 Nm, T</w:t>
      </w:r>
      <w:r w:rsidRPr="00D778A2">
        <w:rPr>
          <w:i/>
          <w:color w:val="5B9BD5" w:themeColor="accent1"/>
          <w:vertAlign w:val="subscript"/>
        </w:rPr>
        <w:t>z</w:t>
      </w:r>
      <w:r w:rsidRPr="00D778A2">
        <w:rPr>
          <w:i/>
          <w:color w:val="5B9BD5" w:themeColor="accent1"/>
        </w:rPr>
        <w:t xml:space="preserve"> = 1/1320 Nm).”</w:t>
      </w:r>
    </w:p>
    <w:p w:rsidR="00D778A2" w:rsidRPr="00D778A2" w:rsidRDefault="00D778A2" w:rsidP="00062B82">
      <w:pPr>
        <w:rPr>
          <w:rFonts w:ascii="Calibri" w:hAnsi="Calibri" w:cs="Calibri"/>
          <w:i/>
          <w:color w:val="5B9BD5" w:themeColor="accent1"/>
          <w:shd w:val="clear" w:color="auto" w:fill="FFFFFF"/>
        </w:rPr>
      </w:pPr>
      <w:r w:rsidRPr="00D778A2">
        <w:rPr>
          <w:i/>
          <w:color w:val="5B9BD5" w:themeColor="accent1"/>
        </w:rPr>
        <w:t>“Raw sensor data from both the load cells (no filtering) and motion tracking smart LEDs were stored, in addition to transformed data.”</w:t>
      </w:r>
    </w:p>
    <w:p w:rsidR="00D778A2" w:rsidRDefault="00D778A2" w:rsidP="00062B82">
      <w:pPr>
        <w:rPr>
          <w:rFonts w:ascii="Calibri" w:hAnsi="Calibri" w:cs="Calibri"/>
          <w:color w:val="5B9BD5" w:themeColor="accent1"/>
          <w:shd w:val="clear" w:color="auto" w:fill="FFFFFF"/>
        </w:rPr>
      </w:pPr>
      <w:r w:rsidRPr="00D778A2">
        <w:rPr>
          <w:rFonts w:ascii="Calibri" w:hAnsi="Calibri" w:cs="Calibri"/>
          <w:color w:val="5B9BD5" w:themeColor="accent1"/>
          <w:shd w:val="clear" w:color="auto" w:fill="FFFFFF"/>
        </w:rPr>
        <w:t xml:space="preserve">A discussion regarding load cell drift was added to the technical validation section. </w:t>
      </w:r>
    </w:p>
    <w:p w:rsidR="00DA39A7" w:rsidRPr="00DA39A7" w:rsidRDefault="00DA39A7" w:rsidP="00DA39A7">
      <w:pPr>
        <w:pStyle w:val="Standard"/>
        <w:rPr>
          <w:i/>
          <w:color w:val="5B9BD5" w:themeColor="accent1"/>
        </w:rPr>
      </w:pPr>
      <w:r w:rsidRPr="00DA39A7">
        <w:rPr>
          <w:i/>
          <w:color w:val="5B9BD5" w:themeColor="accent1"/>
        </w:rPr>
        <w:t>“Load cell drift was inherently captured throughout testing, by the inactive tools. We examined the raw load cell signal of the left forceps, which was inactive, across the later 10 trials of SMULTIS004-1. The average load and torque for each channel was calculated and used to examine the drift. The range (difference between the minimum and maximum) of the average loads were 0.016 N, 0.096 N, and 0.447 N for the x, y, and z directions, respectively. The range of the average torques were 0.844E-3 Nm, 0.246E-3 Nm, and 0.231E-3 Nm, for the x, y, and z axes, respectively.</w:t>
      </w:r>
      <w:r w:rsidR="0071113E" w:rsidRPr="0071113E">
        <w:rPr>
          <w:i/>
          <w:color w:val="5B9BD5" w:themeColor="accent1"/>
        </w:rPr>
        <w:t xml:space="preserve"> </w:t>
      </w:r>
      <w:r w:rsidR="0071113E" w:rsidRPr="0071113E">
        <w:rPr>
          <w:color w:val="5B9BD5" w:themeColor="accent1"/>
        </w:rPr>
        <w:t>The drift from trial to trial can also be eliminated by applying a digital tare for each 20 second trial, using the initial 0.5 seconds of data, when the tool is not in contact with the tissue.</w:t>
      </w:r>
      <w:r w:rsidRPr="0071113E">
        <w:rPr>
          <w:i/>
          <w:color w:val="5B9BD5" w:themeColor="accent1"/>
        </w:rPr>
        <w:t>”</w:t>
      </w:r>
    </w:p>
    <w:p w:rsidR="00D778A2" w:rsidRDefault="00D778A2" w:rsidP="00062B82">
      <w:pPr>
        <w:rPr>
          <w:rFonts w:ascii="Calibri" w:hAnsi="Calibri" w:cs="Calibri"/>
          <w:color w:val="212121"/>
          <w:shd w:val="clear" w:color="auto" w:fill="FFFFFF"/>
        </w:rPr>
      </w:pPr>
    </w:p>
    <w:p w:rsidR="00D90B3F" w:rsidRPr="00D90B3F" w:rsidRDefault="00D90B3F" w:rsidP="00062B82">
      <w:pPr>
        <w:rPr>
          <w:rFonts w:ascii="Calibri" w:hAnsi="Calibri" w:cs="Calibri"/>
          <w:color w:val="212121"/>
          <w:shd w:val="clear" w:color="auto" w:fill="FFFFFF"/>
        </w:rPr>
      </w:pPr>
    </w:p>
    <w:p w:rsidR="00FC6FB9" w:rsidRPr="00AC7A52" w:rsidRDefault="00FC6FB9" w:rsidP="00062B82">
      <w:pPr>
        <w:rPr>
          <w:rFonts w:cstheme="minorHAnsi"/>
          <w:i/>
          <w:color w:val="5B9BD5" w:themeColor="accent1"/>
          <w:shd w:val="clear" w:color="auto" w:fill="FFFFFF"/>
        </w:rPr>
      </w:pPr>
    </w:p>
    <w:sectPr w:rsidR="00FC6FB9" w:rsidRPr="00AC7A52">
      <w:pgSz w:w="12240" w:h="15840"/>
      <w:pgMar w:top="1440" w:right="1440" w:bottom="1440" w:left="1440" w:header="0" w:footer="0" w:gutter="0"/>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1"/>
    <w:family w:val="roman"/>
    <w:pitch w:val="variable"/>
  </w:font>
  <w:font w:name="Noto Sans CJK SC Regular">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961208"/>
    <w:multiLevelType w:val="hybridMultilevel"/>
    <w:tmpl w:val="937EC7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6FB9"/>
    <w:rsid w:val="00062B82"/>
    <w:rsid w:val="000E5765"/>
    <w:rsid w:val="00551131"/>
    <w:rsid w:val="0071113E"/>
    <w:rsid w:val="007A5DE1"/>
    <w:rsid w:val="007D1E81"/>
    <w:rsid w:val="008F7504"/>
    <w:rsid w:val="00A9393C"/>
    <w:rsid w:val="00AC7A52"/>
    <w:rsid w:val="00B65D55"/>
    <w:rsid w:val="00CC16E3"/>
    <w:rsid w:val="00D778A2"/>
    <w:rsid w:val="00D90B3F"/>
    <w:rsid w:val="00DA39A7"/>
    <w:rsid w:val="00E42E19"/>
    <w:rsid w:val="00F1481E"/>
    <w:rsid w:val="00F24921"/>
    <w:rsid w:val="00FC6FB9"/>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132D4C4-1BF3-4C6E-9615-E1B7D5799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paragraph" w:styleId="Heading3">
    <w:name w:val="heading 3"/>
    <w:basedOn w:val="Normal"/>
    <w:link w:val="Heading3Char"/>
    <w:qFormat/>
    <w:rsid w:val="00AC7A52"/>
    <w:pPr>
      <w:keepNext/>
      <w:widowControl w:val="0"/>
      <w:suppressAutoHyphens/>
      <w:spacing w:before="240" w:after="60" w:line="240" w:lineRule="auto"/>
      <w:textAlignment w:val="baseline"/>
      <w:outlineLvl w:val="2"/>
    </w:pPr>
    <w:rPr>
      <w:rFonts w:ascii="Arial" w:eastAsia="Arial" w:hAnsi="Arial" w:cs="Arial"/>
      <w:b/>
      <w:bCs/>
      <w:color w:val="00000A"/>
      <w:sz w:val="26"/>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2">
    <w:name w:val="ListLabel 2"/>
    <w:qFormat/>
    <w:rsid w:val="00EB4D16"/>
    <w:rPr>
      <w:rFonts w:ascii="Arial" w:hAnsi="Arial"/>
      <w:sz w:val="22"/>
      <w:szCs w:val="22"/>
    </w:rPr>
  </w:style>
  <w:style w:type="character" w:customStyle="1" w:styleId="ListLabel3">
    <w:name w:val="ListLabel 3"/>
    <w:qFormat/>
    <w:rPr>
      <w:i/>
      <w:color w:val="4472C4" w:themeColor="accent5"/>
    </w:rPr>
  </w:style>
  <w:style w:type="character" w:customStyle="1" w:styleId="InternetLink">
    <w:name w:val="Internet Link"/>
    <w:rPr>
      <w:color w:val="000080"/>
      <w:u w:val="single"/>
    </w:rPr>
  </w:style>
  <w:style w:type="character" w:customStyle="1" w:styleId="CommentTextChar">
    <w:name w:val="Comment Text Char"/>
    <w:basedOn w:val="DefaultParagraphFont"/>
    <w:link w:val="CommentText"/>
    <w:uiPriority w:val="99"/>
    <w:semiHidden/>
    <w:qFormat/>
    <w:rPr>
      <w:sz w:val="20"/>
      <w:szCs w:val="20"/>
    </w:rPr>
  </w:style>
  <w:style w:type="character" w:styleId="CommentReference">
    <w:name w:val="annotation reference"/>
    <w:basedOn w:val="DefaultParagraphFont"/>
    <w:uiPriority w:val="99"/>
    <w:semiHidden/>
    <w:unhideWhenUsed/>
    <w:qFormat/>
    <w:rPr>
      <w:sz w:val="16"/>
      <w:szCs w:val="16"/>
    </w:rPr>
  </w:style>
  <w:style w:type="character" w:customStyle="1" w:styleId="BalloonTextChar">
    <w:name w:val="Balloon Text Char"/>
    <w:basedOn w:val="DefaultParagraphFont"/>
    <w:link w:val="BalloonText"/>
    <w:uiPriority w:val="99"/>
    <w:semiHidden/>
    <w:qFormat/>
    <w:rsid w:val="00B52122"/>
    <w:rPr>
      <w:rFonts w:ascii="Segoe UI" w:hAnsi="Segoe UI" w:cs="Segoe UI"/>
      <w:sz w:val="18"/>
      <w:szCs w:val="18"/>
    </w:rPr>
  </w:style>
  <w:style w:type="character" w:customStyle="1" w:styleId="CommentSubjectChar">
    <w:name w:val="Comment Subject Char"/>
    <w:basedOn w:val="CommentTextChar"/>
    <w:link w:val="CommentSubject"/>
    <w:uiPriority w:val="99"/>
    <w:semiHidden/>
    <w:qFormat/>
    <w:rsid w:val="006E13D2"/>
    <w:rPr>
      <w:b/>
      <w:bCs/>
      <w:sz w:val="20"/>
      <w:szCs w:val="20"/>
    </w:rPr>
  </w:style>
  <w:style w:type="character" w:customStyle="1" w:styleId="ListLabel4">
    <w:name w:val="ListLabel 4"/>
    <w:qFormat/>
    <w:rPr>
      <w:rFonts w:cs="Arial"/>
      <w:i/>
      <w:color w:val="2E74B5" w:themeColor="accent1" w:themeShade="BF"/>
    </w:rPr>
  </w:style>
  <w:style w:type="paragraph" w:customStyle="1" w:styleId="Heading">
    <w:name w:val="Heading"/>
    <w:basedOn w:val="Normal"/>
    <w:next w:val="BodyText"/>
    <w:qFormat/>
    <w:pPr>
      <w:keepNext/>
      <w:spacing w:before="240" w:after="120"/>
    </w:pPr>
    <w:rPr>
      <w:rFonts w:ascii="Liberation Sans" w:eastAsia="Noto Sans CJK SC Regular"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CommentText">
    <w:name w:val="annotation text"/>
    <w:basedOn w:val="Normal"/>
    <w:link w:val="CommentTextChar"/>
    <w:uiPriority w:val="99"/>
    <w:semiHidden/>
    <w:unhideWhenUsed/>
    <w:qFormat/>
    <w:pPr>
      <w:spacing w:line="240" w:lineRule="auto"/>
    </w:pPr>
    <w:rPr>
      <w:sz w:val="20"/>
      <w:szCs w:val="20"/>
    </w:rPr>
  </w:style>
  <w:style w:type="paragraph" w:styleId="BalloonText">
    <w:name w:val="Balloon Text"/>
    <w:basedOn w:val="Normal"/>
    <w:link w:val="BalloonTextChar"/>
    <w:uiPriority w:val="99"/>
    <w:semiHidden/>
    <w:unhideWhenUsed/>
    <w:qFormat/>
    <w:rsid w:val="00B52122"/>
    <w:pPr>
      <w:spacing w:after="0" w:line="240" w:lineRule="auto"/>
    </w:pPr>
    <w:rPr>
      <w:rFonts w:ascii="Segoe UI" w:hAnsi="Segoe UI" w:cs="Segoe UI"/>
      <w:sz w:val="18"/>
      <w:szCs w:val="18"/>
    </w:rPr>
  </w:style>
  <w:style w:type="paragraph" w:styleId="CommentSubject">
    <w:name w:val="annotation subject"/>
    <w:basedOn w:val="CommentText"/>
    <w:link w:val="CommentSubjectChar"/>
    <w:uiPriority w:val="99"/>
    <w:semiHidden/>
    <w:unhideWhenUsed/>
    <w:qFormat/>
    <w:rsid w:val="006E13D2"/>
    <w:rPr>
      <w:b/>
      <w:bCs/>
    </w:rPr>
  </w:style>
  <w:style w:type="character" w:customStyle="1" w:styleId="Heading3Char">
    <w:name w:val="Heading 3 Char"/>
    <w:basedOn w:val="DefaultParagraphFont"/>
    <w:link w:val="Heading3"/>
    <w:rsid w:val="00AC7A52"/>
    <w:rPr>
      <w:rFonts w:ascii="Arial" w:eastAsia="Arial" w:hAnsi="Arial" w:cs="Arial"/>
      <w:b/>
      <w:bCs/>
      <w:color w:val="00000A"/>
      <w:sz w:val="26"/>
      <w:szCs w:val="26"/>
      <w:lang w:eastAsia="en-GB"/>
    </w:rPr>
  </w:style>
  <w:style w:type="paragraph" w:styleId="ListParagraph">
    <w:name w:val="List Paragraph"/>
    <w:basedOn w:val="Normal"/>
    <w:uiPriority w:val="34"/>
    <w:qFormat/>
    <w:rsid w:val="00D90B3F"/>
    <w:pPr>
      <w:ind w:left="720"/>
      <w:contextualSpacing/>
    </w:pPr>
  </w:style>
  <w:style w:type="paragraph" w:customStyle="1" w:styleId="Standard">
    <w:name w:val="Standard"/>
    <w:qFormat/>
    <w:rsid w:val="00F1481E"/>
    <w:pPr>
      <w:jc w:val="both"/>
    </w:pPr>
    <w:rPr>
      <w:rFonts w:ascii="Calibri" w:eastAsia="Calibri" w:hAnsi="Calibri" w:cs="Calibri"/>
      <w:color w:val="00000A"/>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1561</TotalTime>
  <Pages>2</Pages>
  <Words>967</Words>
  <Characters>5516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6471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Neumann, Erica</dc:creator>
  <dc:description/>
  <cp:lastModifiedBy>Neumann, Erica</cp:lastModifiedBy>
  <cp:revision>15</cp:revision>
  <dcterms:created xsi:type="dcterms:W3CDTF">2019-11-13T15:19:00Z</dcterms:created>
  <dcterms:modified xsi:type="dcterms:W3CDTF">2019-11-21T16:11:00Z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Cleveland Clinic</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